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lang w:val="en-US" w:eastAsia="zh-CN"/>
        </w:rPr>
      </w:pPr>
      <w:bookmarkStart w:id="0" w:name="_GoBack"/>
      <w:bookmarkEnd w:id="0"/>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1</w:t>
      </w:r>
    </w:p>
    <w:p>
      <w:pPr>
        <w:spacing w:before="156" w:beforeLines="50" w:after="156" w:afterLines="50"/>
        <w:ind w:firstLine="862" w:firstLineChars="196"/>
        <w:jc w:val="center"/>
        <w:rPr>
          <w:rFonts w:hint="eastAsia" w:ascii="方正小标宋简体" w:hAnsi="方正小标宋简体" w:eastAsia="方正小标宋简体" w:cs="方正小标宋简体"/>
          <w:b w:val="0"/>
          <w:bCs w:val="0"/>
          <w:color w:val="auto"/>
          <w:sz w:val="44"/>
          <w:szCs w:val="44"/>
          <w:highlight w:val="none"/>
          <w:shd w:val="clear" w:color="auto" w:fill="auto"/>
        </w:rPr>
      </w:pPr>
      <w:r>
        <w:rPr>
          <w:rFonts w:hint="eastAsia" w:ascii="方正小标宋简体" w:hAnsi="方正小标宋简体" w:eastAsia="方正小标宋简体" w:cs="方正小标宋简体"/>
          <w:b w:val="0"/>
          <w:bCs w:val="0"/>
          <w:color w:val="auto"/>
          <w:sz w:val="44"/>
          <w:szCs w:val="44"/>
          <w:highlight w:val="none"/>
          <w:shd w:val="clear" w:color="auto" w:fill="auto"/>
        </w:rPr>
        <w:t>评分细则表</w:t>
      </w:r>
    </w:p>
    <w:tbl>
      <w:tblPr>
        <w:tblStyle w:val="8"/>
        <w:tblW w:w="5758" w:type="pct"/>
        <w:jc w:val="center"/>
        <w:tblCellSpacing w:w="0" w:type="dxa"/>
        <w:tblLayout w:type="autofit"/>
        <w:tblCellMar>
          <w:top w:w="45" w:type="dxa"/>
          <w:left w:w="45" w:type="dxa"/>
          <w:bottom w:w="45" w:type="dxa"/>
          <w:right w:w="45" w:type="dxa"/>
        </w:tblCellMar>
      </w:tblPr>
      <w:tblGrid>
        <w:gridCol w:w="8426"/>
        <w:gridCol w:w="1244"/>
      </w:tblGrid>
      <w:tr>
        <w:trPr>
          <w:tblCellSpacing w:w="0" w:type="dxa"/>
          <w:jc w:val="center"/>
        </w:trPr>
        <w:tc>
          <w:tcPr>
            <w:tcW w:w="4357" w:type="pct"/>
            <w:tcBorders>
              <w:top w:val="nil"/>
              <w:left w:val="nil"/>
              <w:bottom w:val="nil"/>
              <w:right w:val="nil"/>
            </w:tcBorders>
            <w:noWrap w:val="0"/>
            <w:vAlign w:val="center"/>
          </w:tcPr>
          <w:p>
            <w:pPr>
              <w:rPr>
                <w:rFonts w:hint="eastAsia" w:ascii="宋体" w:hAnsi="宋体" w:eastAsia="宋体" w:cs="宋体"/>
                <w:b/>
                <w:bCs/>
                <w:color w:val="auto"/>
                <w:sz w:val="24"/>
                <w:highlight w:val="none"/>
                <w:shd w:val="clear" w:color="auto" w:fill="auto"/>
              </w:rPr>
            </w:pPr>
            <w:r>
              <w:rPr>
                <w:rFonts w:hint="eastAsia" w:ascii="宋体" w:hAnsi="宋体" w:eastAsia="宋体" w:cs="宋体"/>
                <w:b/>
                <w:bCs/>
                <w:color w:val="auto"/>
                <w:sz w:val="24"/>
                <w:szCs w:val="32"/>
                <w:highlight w:val="none"/>
                <w:shd w:val="clear" w:color="auto" w:fill="auto"/>
              </w:rPr>
              <w:t>评标方法：综合评分法（新价格分算法）</w:t>
            </w:r>
          </w:p>
        </w:tc>
        <w:tc>
          <w:tcPr>
            <w:tcW w:w="642" w:type="pct"/>
            <w:tcBorders>
              <w:top w:val="nil"/>
              <w:left w:val="nil"/>
              <w:bottom w:val="nil"/>
              <w:right w:val="nil"/>
            </w:tcBorders>
            <w:noWrap w:val="0"/>
            <w:vAlign w:val="center"/>
          </w:tcPr>
          <w:p>
            <w:pPr>
              <w:jc w:val="right"/>
              <w:rPr>
                <w:rFonts w:hint="eastAsia" w:ascii="宋体" w:hAnsi="宋体" w:eastAsia="宋体" w:cs="宋体"/>
                <w:b/>
                <w:bCs/>
                <w:color w:val="auto"/>
                <w:sz w:val="24"/>
                <w:highlight w:val="none"/>
                <w:shd w:val="clear" w:color="auto" w:fill="auto"/>
              </w:rPr>
            </w:pPr>
          </w:p>
        </w:tc>
      </w:tr>
      <w:tr>
        <w:tblPrEx>
          <w:tblCellMar>
            <w:top w:w="45" w:type="dxa"/>
            <w:left w:w="45" w:type="dxa"/>
            <w:bottom w:w="45" w:type="dxa"/>
            <w:right w:w="45" w:type="dxa"/>
          </w:tblCellMar>
        </w:tblPrEx>
        <w:trPr>
          <w:trHeight w:val="90" w:hRule="atLeast"/>
          <w:tblCellSpacing w:w="0" w:type="dxa"/>
          <w:jc w:val="center"/>
        </w:trPr>
        <w:tc>
          <w:tcPr>
            <w:tcW w:w="5000" w:type="pct"/>
            <w:gridSpan w:val="2"/>
            <w:tcBorders>
              <w:top w:val="nil"/>
              <w:left w:val="nil"/>
              <w:bottom w:val="nil"/>
              <w:right w:val="nil"/>
            </w:tcBorders>
            <w:noWrap w:val="0"/>
            <w:vAlign w:val="center"/>
          </w:tcPr>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left="0" w:firstLine="420"/>
              <w:jc w:val="left"/>
              <w:textAlignment w:val="auto"/>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综合评分法，是指投标文件满足招标文件全部实质性要求，且按照评审因素的量化指标评审得分最高的投标人为中标候选人的评标方法。</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left="0" w:firstLine="420"/>
              <w:jc w:val="left"/>
              <w:textAlignment w:val="auto"/>
              <w:rPr>
                <w:rFonts w:hint="eastAsia" w:ascii="宋体" w:hAnsi="宋体" w:eastAsia="宋体" w:cs="宋体"/>
                <w:b/>
                <w:bCs/>
                <w:color w:val="auto"/>
                <w:sz w:val="24"/>
                <w:szCs w:val="24"/>
                <w:highlight w:val="none"/>
                <w:shd w:val="clear" w:color="auto" w:fill="auto"/>
              </w:rPr>
            </w:pPr>
            <w:r>
              <w:rPr>
                <w:rFonts w:hint="eastAsia" w:ascii="宋体" w:hAnsi="宋体" w:eastAsia="宋体" w:cs="宋体"/>
                <w:b/>
                <w:bCs/>
                <w:color w:val="auto"/>
                <w:sz w:val="24"/>
                <w:szCs w:val="24"/>
                <w:highlight w:val="none"/>
                <w:shd w:val="clear" w:color="auto" w:fill="auto"/>
              </w:rPr>
              <w:t>价格分计算方法：</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left="0" w:firstLine="480" w:firstLineChars="200"/>
              <w:jc w:val="left"/>
              <w:textAlignment w:val="auto"/>
              <w:rPr>
                <w:rFonts w:hint="eastAsia" w:ascii="宋体" w:hAnsi="宋体" w:eastAsia="宋体" w:cs="宋体"/>
                <w:color w:val="auto"/>
                <w:sz w:val="24"/>
                <w:szCs w:val="24"/>
                <w:highlight w:val="none"/>
                <w:shd w:val="clear" w:color="auto" w:fill="auto"/>
                <w:lang w:eastAsia="zh-CN"/>
              </w:rPr>
            </w:pPr>
            <w:r>
              <w:rPr>
                <w:rFonts w:hint="eastAsia" w:ascii="宋体" w:hAnsi="宋体" w:eastAsia="宋体" w:cs="宋体"/>
                <w:color w:val="auto"/>
                <w:sz w:val="24"/>
                <w:szCs w:val="24"/>
                <w:highlight w:val="none"/>
                <w:shd w:val="clear" w:color="auto" w:fill="auto"/>
              </w:rPr>
              <w:t>采用低价优先法计算，即满足招标文件要求且投标价格最低的投标报价为评标基准价，其价格分为满分。其他投标人的价格分统一按照下列公式计算：</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left="0" w:firstLine="480" w:firstLineChars="200"/>
              <w:jc w:val="left"/>
              <w:textAlignment w:val="auto"/>
              <w:rPr>
                <w:rFonts w:hint="eastAsia" w:ascii="宋体" w:hAnsi="宋体" w:eastAsia="宋体" w:cs="宋体"/>
                <w:color w:val="auto"/>
                <w:sz w:val="24"/>
                <w:szCs w:val="24"/>
                <w:highlight w:val="none"/>
                <w:shd w:val="clear" w:color="auto" w:fill="auto"/>
                <w:lang w:eastAsia="zh-CN"/>
              </w:rPr>
            </w:pPr>
            <w:r>
              <w:rPr>
                <w:rFonts w:hint="eastAsia" w:ascii="宋体" w:hAnsi="宋体" w:eastAsia="宋体" w:cs="宋体"/>
                <w:color w:val="auto"/>
                <w:sz w:val="24"/>
                <w:szCs w:val="24"/>
                <w:highlight w:val="none"/>
                <w:shd w:val="clear" w:color="auto" w:fill="auto"/>
              </w:rPr>
              <w:t>投标报价得分=(评标基准价／投标报价)×价格分值</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left="0" w:firstLine="480" w:firstLineChars="200"/>
              <w:jc w:val="left"/>
              <w:textAlignment w:val="auto"/>
              <w:rPr>
                <w:rFonts w:hint="eastAsia" w:ascii="宋体" w:hAnsi="宋体" w:eastAsia="宋体" w:cs="宋体"/>
                <w:color w:val="auto"/>
                <w:sz w:val="24"/>
                <w:szCs w:val="24"/>
                <w:highlight w:val="none"/>
                <w:shd w:val="clear" w:color="auto" w:fill="auto"/>
                <w:lang w:eastAsia="zh-CN"/>
              </w:rPr>
            </w:pPr>
            <w:r>
              <w:rPr>
                <w:rFonts w:hint="eastAsia" w:ascii="宋体" w:hAnsi="宋体" w:eastAsia="宋体" w:cs="宋体"/>
                <w:color w:val="auto"/>
                <w:sz w:val="24"/>
                <w:szCs w:val="24"/>
                <w:highlight w:val="none"/>
                <w:shd w:val="clear" w:color="auto" w:fill="auto"/>
              </w:rPr>
              <w:t>评标过程中，不得去掉报价中的最高报价和最低报价。</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left="0" w:firstLine="481" w:firstLineChars="200"/>
              <w:jc w:val="left"/>
              <w:textAlignment w:val="auto"/>
              <w:rPr>
                <w:rFonts w:hint="eastAsia" w:ascii="宋体" w:hAnsi="宋体" w:eastAsia="宋体" w:cs="宋体"/>
                <w:b/>
                <w:color w:val="auto"/>
                <w:sz w:val="24"/>
                <w:szCs w:val="24"/>
                <w:highlight w:val="none"/>
                <w:shd w:val="clear" w:color="auto" w:fill="auto"/>
              </w:rPr>
            </w:pPr>
            <w:r>
              <w:rPr>
                <w:rFonts w:hint="eastAsia" w:ascii="宋体" w:hAnsi="宋体" w:eastAsia="宋体" w:cs="宋体"/>
                <w:b/>
                <w:color w:val="auto"/>
                <w:sz w:val="24"/>
                <w:szCs w:val="24"/>
                <w:highlight w:val="none"/>
                <w:shd w:val="clear" w:color="auto" w:fill="auto"/>
              </w:rPr>
              <w:t>本项目为非专门面向中小企业的项目，用扣除后的价格参与评审，本项目的扣除比例为：</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left="0" w:firstLine="481" w:firstLineChars="200"/>
              <w:jc w:val="left"/>
              <w:textAlignment w:val="auto"/>
              <w:rPr>
                <w:rFonts w:hint="eastAsia" w:ascii="宋体" w:hAnsi="宋体" w:eastAsia="宋体" w:cs="宋体"/>
                <w:b/>
                <w:color w:val="auto"/>
                <w:sz w:val="24"/>
                <w:szCs w:val="24"/>
                <w:highlight w:val="none"/>
                <w:shd w:val="clear" w:color="auto" w:fill="auto"/>
              </w:rPr>
            </w:pPr>
            <w:r>
              <w:rPr>
                <w:rFonts w:hint="eastAsia" w:ascii="宋体" w:hAnsi="宋体" w:eastAsia="宋体" w:cs="宋体"/>
                <w:b/>
                <w:color w:val="auto"/>
                <w:sz w:val="24"/>
                <w:szCs w:val="24"/>
                <w:highlight w:val="none"/>
                <w:shd w:val="clear" w:color="auto" w:fill="auto"/>
              </w:rPr>
              <w:t>1.小型企业、微型企业、监狱企业和残疾人福利性单位均给予10%的扣除。</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left="0" w:firstLine="481"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b/>
                <w:color w:val="auto"/>
                <w:sz w:val="24"/>
                <w:szCs w:val="24"/>
                <w:highlight w:val="none"/>
                <w:shd w:val="clear" w:color="auto" w:fill="auto"/>
              </w:rPr>
              <w:t>2.相关证明文件详见投标文件格式要求，投标人同时为小型、微型企业、监狱企业和残疾人福利性单位的，评审中只享受一次价格扣除，不重复进行价格扣除。</w:t>
            </w:r>
          </w:p>
        </w:tc>
      </w:tr>
      <w:tr>
        <w:tblPrEx>
          <w:tblCellMar>
            <w:top w:w="45" w:type="dxa"/>
            <w:left w:w="45" w:type="dxa"/>
            <w:bottom w:w="45" w:type="dxa"/>
            <w:right w:w="45" w:type="dxa"/>
          </w:tblCellMar>
        </w:tblPrEx>
        <w:trPr>
          <w:trHeight w:val="9771" w:hRule="atLeast"/>
          <w:tblCellSpacing w:w="0" w:type="dxa"/>
          <w:jc w:val="center"/>
        </w:trPr>
        <w:tc>
          <w:tcPr>
            <w:tcW w:w="5000" w:type="pct"/>
            <w:gridSpan w:val="2"/>
            <w:tcBorders>
              <w:top w:val="nil"/>
              <w:left w:val="nil"/>
              <w:bottom w:val="nil"/>
              <w:right w:val="nil"/>
            </w:tcBorders>
            <w:noWrap w:val="0"/>
            <w:vAlign w:val="center"/>
          </w:tcPr>
          <w:tbl>
            <w:tblPr>
              <w:tblStyle w:val="8"/>
              <w:tblW w:w="9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2"/>
              <w:gridCol w:w="1379"/>
              <w:gridCol w:w="506"/>
              <w:gridCol w:w="713"/>
              <w:gridCol w:w="6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序号</w:t>
                  </w:r>
                </w:p>
              </w:tc>
              <w:tc>
                <w:tcPr>
                  <w:tcW w:w="1379"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评分项</w:t>
                  </w:r>
                </w:p>
              </w:tc>
              <w:tc>
                <w:tcPr>
                  <w:tcW w:w="7709" w:type="dxa"/>
                  <w:gridSpan w:val="3"/>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b/>
                      <w:bCs/>
                      <w:kern w:val="2"/>
                      <w:sz w:val="21"/>
                      <w:szCs w:val="21"/>
                      <w:lang w:val="en-US" w:eastAsia="zh-CN" w:bidi="ar-SA"/>
                    </w:rPr>
                  </w:pPr>
                  <w:r>
                    <w:rPr>
                      <w:rFonts w:hint="eastAsia" w:ascii="仿宋_GB2312" w:hAnsi="仿宋_GB2312" w:eastAsia="仿宋_GB2312" w:cs="仿宋_GB2312"/>
                      <w:b/>
                      <w:bCs/>
                      <w:kern w:val="2"/>
                      <w:sz w:val="21"/>
                      <w:szCs w:val="21"/>
                      <w:lang w:val="en-US" w:eastAsia="zh-CN" w:bidi="ar-SA"/>
                    </w:rPr>
                    <w:t>一</w:t>
                  </w:r>
                </w:p>
              </w:tc>
              <w:tc>
                <w:tcPr>
                  <w:tcW w:w="1379"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b/>
                      <w:bCs/>
                      <w:kern w:val="2"/>
                      <w:sz w:val="21"/>
                      <w:szCs w:val="21"/>
                      <w:lang w:val="en-US" w:eastAsia="zh-CN" w:bidi="ar-SA"/>
                    </w:rPr>
                  </w:pPr>
                  <w:r>
                    <w:rPr>
                      <w:rFonts w:hint="eastAsia" w:ascii="仿宋_GB2312" w:hAnsi="仿宋_GB2312" w:eastAsia="仿宋_GB2312" w:cs="仿宋_GB2312"/>
                      <w:b/>
                      <w:bCs/>
                      <w:sz w:val="21"/>
                      <w:szCs w:val="21"/>
                    </w:rPr>
                    <w:t>价格</w:t>
                  </w:r>
                  <w:r>
                    <w:rPr>
                      <w:rFonts w:hint="eastAsia" w:ascii="仿宋_GB2312" w:hAnsi="仿宋_GB2312" w:eastAsia="仿宋_GB2312" w:cs="仿宋_GB2312"/>
                      <w:b/>
                      <w:bCs/>
                      <w:sz w:val="21"/>
                      <w:szCs w:val="21"/>
                      <w:lang w:eastAsia="zh-CN"/>
                    </w:rPr>
                    <w:t>部分</w:t>
                  </w:r>
                </w:p>
              </w:tc>
              <w:tc>
                <w:tcPr>
                  <w:tcW w:w="7709" w:type="dxa"/>
                  <w:gridSpan w:val="3"/>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b/>
                      <w:bCs/>
                      <w:sz w:val="21"/>
                      <w:szCs w:val="21"/>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b/>
                      <w:bCs/>
                      <w:kern w:val="2"/>
                      <w:sz w:val="21"/>
                      <w:szCs w:val="21"/>
                      <w:lang w:val="en-US" w:eastAsia="zh-CN" w:bidi="ar-SA"/>
                    </w:rPr>
                  </w:pPr>
                  <w:r>
                    <w:rPr>
                      <w:rFonts w:hint="eastAsia" w:ascii="仿宋_GB2312" w:hAnsi="仿宋_GB2312" w:eastAsia="仿宋_GB2312" w:cs="仿宋_GB2312"/>
                      <w:b/>
                      <w:bCs/>
                      <w:sz w:val="21"/>
                      <w:szCs w:val="21"/>
                      <w:lang w:eastAsia="zh-CN"/>
                    </w:rPr>
                    <w:t>二</w:t>
                  </w:r>
                </w:p>
              </w:tc>
              <w:tc>
                <w:tcPr>
                  <w:tcW w:w="1379"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b/>
                      <w:bCs/>
                      <w:kern w:val="2"/>
                      <w:sz w:val="21"/>
                      <w:szCs w:val="21"/>
                      <w:lang w:val="en-US" w:eastAsia="zh-CN" w:bidi="ar-SA"/>
                    </w:rPr>
                  </w:pPr>
                  <w:r>
                    <w:rPr>
                      <w:rFonts w:hint="eastAsia" w:ascii="仿宋_GB2312" w:hAnsi="仿宋_GB2312" w:eastAsia="仿宋_GB2312" w:cs="仿宋_GB2312"/>
                      <w:b/>
                      <w:bCs/>
                      <w:sz w:val="21"/>
                      <w:szCs w:val="21"/>
                    </w:rPr>
                    <w:t>技术部分</w:t>
                  </w:r>
                </w:p>
              </w:tc>
              <w:tc>
                <w:tcPr>
                  <w:tcW w:w="7709" w:type="dxa"/>
                  <w:gridSpan w:val="3"/>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b/>
                      <w:bCs/>
                      <w:sz w:val="21"/>
                      <w:szCs w:val="21"/>
                      <w:lang w:val="en-US" w:eastAsia="zh-CN"/>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b/>
                      <w:bCs/>
                      <w:kern w:val="2"/>
                      <w:sz w:val="21"/>
                      <w:szCs w:val="21"/>
                      <w:lang w:val="en-US" w:eastAsia="zh-CN" w:bidi="ar-SA"/>
                    </w:rPr>
                  </w:pPr>
                  <w:r>
                    <w:rPr>
                      <w:rFonts w:hint="eastAsia" w:ascii="仿宋_GB2312" w:hAnsi="仿宋_GB2312" w:eastAsia="仿宋_GB2312" w:cs="仿宋_GB2312"/>
                      <w:b/>
                      <w:bCs/>
                      <w:sz w:val="21"/>
                      <w:szCs w:val="21"/>
                    </w:rPr>
                    <w:t>序号</w:t>
                  </w:r>
                </w:p>
              </w:tc>
              <w:tc>
                <w:tcPr>
                  <w:tcW w:w="1379"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b/>
                      <w:bCs/>
                      <w:kern w:val="2"/>
                      <w:sz w:val="21"/>
                      <w:szCs w:val="21"/>
                      <w:lang w:val="en-US" w:eastAsia="zh-CN" w:bidi="ar-SA"/>
                    </w:rPr>
                  </w:pPr>
                  <w:r>
                    <w:rPr>
                      <w:rFonts w:hint="eastAsia" w:ascii="仿宋_GB2312" w:hAnsi="仿宋_GB2312" w:eastAsia="仿宋_GB2312" w:cs="仿宋_GB2312"/>
                      <w:b/>
                      <w:bCs/>
                      <w:sz w:val="21"/>
                      <w:szCs w:val="21"/>
                    </w:rPr>
                    <w:t>评分因素</w:t>
                  </w:r>
                </w:p>
              </w:tc>
              <w:tc>
                <w:tcPr>
                  <w:tcW w:w="506"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b/>
                      <w:bCs/>
                      <w:kern w:val="2"/>
                      <w:sz w:val="21"/>
                      <w:szCs w:val="21"/>
                      <w:lang w:val="en-US" w:eastAsia="zh-CN" w:bidi="ar-SA"/>
                    </w:rPr>
                  </w:pPr>
                  <w:r>
                    <w:rPr>
                      <w:rFonts w:hint="eastAsia" w:ascii="仿宋_GB2312" w:hAnsi="仿宋_GB2312" w:eastAsia="仿宋_GB2312" w:cs="仿宋_GB2312"/>
                      <w:b/>
                      <w:bCs/>
                      <w:sz w:val="21"/>
                      <w:szCs w:val="21"/>
                    </w:rPr>
                    <w:t>权重</w:t>
                  </w:r>
                </w:p>
              </w:tc>
              <w:tc>
                <w:tcPr>
                  <w:tcW w:w="713"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b/>
                      <w:bCs/>
                      <w:kern w:val="2"/>
                      <w:sz w:val="21"/>
                      <w:szCs w:val="21"/>
                      <w:lang w:val="en-US" w:eastAsia="zh-CN" w:bidi="ar-SA"/>
                    </w:rPr>
                  </w:pPr>
                  <w:r>
                    <w:rPr>
                      <w:rFonts w:hint="eastAsia" w:ascii="仿宋_GB2312" w:hAnsi="仿宋_GB2312" w:eastAsia="仿宋_GB2312" w:cs="仿宋_GB2312"/>
                      <w:b/>
                      <w:bCs/>
                      <w:sz w:val="21"/>
                      <w:szCs w:val="21"/>
                    </w:rPr>
                    <w:t>评分方式</w:t>
                  </w:r>
                </w:p>
              </w:tc>
              <w:tc>
                <w:tcPr>
                  <w:tcW w:w="6490"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b/>
                      <w:bCs/>
                      <w:kern w:val="2"/>
                      <w:sz w:val="21"/>
                      <w:szCs w:val="21"/>
                      <w:lang w:val="en-US" w:eastAsia="zh-CN" w:bidi="ar-SA"/>
                    </w:rPr>
                  </w:pPr>
                  <w:r>
                    <w:rPr>
                      <w:rFonts w:hint="eastAsia" w:ascii="仿宋_GB2312" w:hAnsi="仿宋_GB2312" w:eastAsia="仿宋_GB2312" w:cs="仿宋_GB2312"/>
                      <w:b/>
                      <w:bCs/>
                      <w:sz w:val="21"/>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1"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1</w:t>
                  </w:r>
                </w:p>
              </w:tc>
              <w:tc>
                <w:tcPr>
                  <w:tcW w:w="1379"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eastAsia="zh-CN" w:bidi="ar-SA"/>
                    </w:rPr>
                  </w:pPr>
                  <w:r>
                    <w:rPr>
                      <w:rFonts w:hint="eastAsia" w:ascii="仿宋_GB2312" w:hAnsi="仿宋_GB2312" w:eastAsia="仿宋_GB2312" w:cs="仿宋_GB2312"/>
                      <w:color w:val="auto"/>
                      <w:kern w:val="2"/>
                      <w:sz w:val="24"/>
                      <w:szCs w:val="24"/>
                      <w:lang w:eastAsia="zh-CN" w:bidi="ar-SA"/>
                    </w:rPr>
                    <w:t>项目实施方案及相关合理化建议</w:t>
                  </w:r>
                </w:p>
              </w:tc>
              <w:tc>
                <w:tcPr>
                  <w:tcW w:w="506"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10</w:t>
                  </w:r>
                </w:p>
              </w:tc>
              <w:tc>
                <w:tcPr>
                  <w:tcW w:w="713"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专家评分</w:t>
                  </w:r>
                </w:p>
              </w:tc>
              <w:tc>
                <w:tcPr>
                  <w:tcW w:w="6490" w:type="dxa"/>
                  <w:noWrap w:val="0"/>
                  <w:vAlign w:val="center"/>
                </w:tcPr>
                <w:p>
                  <w:pPr>
                    <w:keepNext w:val="0"/>
                    <w:keepLines w:val="0"/>
                    <w:pageBreakBefore w:val="0"/>
                    <w:numPr>
                      <w:ilvl w:val="0"/>
                      <w:numId w:val="0"/>
                    </w:numPr>
                    <w:tabs>
                      <w:tab w:val="left" w:pos="312"/>
                    </w:tabs>
                    <w:kinsoku/>
                    <w:overflowPunct/>
                    <w:topLinePunct w:val="0"/>
                    <w:bidi w:val="0"/>
                    <w:snapToGrid/>
                    <w:spacing w:line="240" w:lineRule="auto"/>
                    <w:ind w:firstLine="0" w:firstLineChars="0"/>
                    <w:jc w:val="left"/>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（一）评审内容：</w:t>
                  </w:r>
                </w:p>
                <w:p>
                  <w:pPr>
                    <w:keepNext w:val="0"/>
                    <w:keepLines w:val="0"/>
                    <w:pageBreakBefore w:val="0"/>
                    <w:kinsoku/>
                    <w:overflowPunct/>
                    <w:topLinePunct w:val="0"/>
                    <w:bidi w:val="0"/>
                    <w:snapToGrid/>
                    <w:spacing w:line="240" w:lineRule="auto"/>
                    <w:ind w:firstLine="0" w:firstLineChars="0"/>
                    <w:jc w:val="left"/>
                    <w:textAlignment w:val="auto"/>
                    <w:rPr>
                      <w:rFonts w:hint="eastAsia" w:ascii="仿宋_GB2312" w:hAnsi="仿宋_GB2312" w:eastAsia="仿宋_GB2312" w:cs="仿宋_GB2312"/>
                      <w:color w:val="auto"/>
                      <w:sz w:val="24"/>
                      <w:lang w:val="en-US" w:eastAsia="zh-CN"/>
                    </w:rPr>
                  </w:pPr>
                  <w:r>
                    <w:rPr>
                      <w:rFonts w:hint="eastAsia" w:ascii="仿宋_GB2312" w:hAnsi="仿宋_GB2312" w:eastAsia="仿宋_GB2312" w:cs="仿宋_GB2312"/>
                      <w:color w:val="auto"/>
                      <w:kern w:val="2"/>
                      <w:sz w:val="24"/>
                      <w:szCs w:val="24"/>
                      <w:lang w:val="en-US" w:eastAsia="zh-CN" w:bidi="ar-SA"/>
                    </w:rPr>
                    <w:t>投标人提供的材料须包括：</w:t>
                  </w:r>
                </w:p>
                <w:p>
                  <w:pPr>
                    <w:keepNext w:val="0"/>
                    <w:keepLines w:val="0"/>
                    <w:pageBreakBefore w:val="0"/>
                    <w:kinsoku/>
                    <w:overflowPunct/>
                    <w:topLinePunct w:val="0"/>
                    <w:bidi w:val="0"/>
                    <w:snapToGrid/>
                    <w:spacing w:line="240" w:lineRule="auto"/>
                    <w:ind w:firstLine="0" w:firstLineChars="0"/>
                    <w:jc w:val="left"/>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1.项目实施方案；</w:t>
                  </w:r>
                </w:p>
                <w:p>
                  <w:pPr>
                    <w:keepNext w:val="0"/>
                    <w:keepLines w:val="0"/>
                    <w:pageBreakBefore w:val="0"/>
                    <w:kinsoku/>
                    <w:overflowPunct/>
                    <w:topLinePunct w:val="0"/>
                    <w:bidi w:val="0"/>
                    <w:snapToGrid/>
                    <w:spacing w:line="240" w:lineRule="auto"/>
                    <w:ind w:firstLine="0" w:firstLineChars="0"/>
                    <w:jc w:val="left"/>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2.项目进度计划；</w:t>
                  </w:r>
                </w:p>
                <w:p>
                  <w:pPr>
                    <w:keepNext w:val="0"/>
                    <w:keepLines w:val="0"/>
                    <w:pageBreakBefore w:val="0"/>
                    <w:kinsoku/>
                    <w:overflowPunct/>
                    <w:topLinePunct w:val="0"/>
                    <w:bidi w:val="0"/>
                    <w:snapToGrid/>
                    <w:spacing w:line="240" w:lineRule="auto"/>
                    <w:ind w:firstLine="0" w:firstLineChars="0"/>
                    <w:jc w:val="left"/>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3.进度控制措施；</w:t>
                  </w:r>
                </w:p>
                <w:p>
                  <w:pPr>
                    <w:keepNext w:val="0"/>
                    <w:keepLines w:val="0"/>
                    <w:pageBreakBefore w:val="0"/>
                    <w:kinsoku/>
                    <w:overflowPunct/>
                    <w:topLinePunct w:val="0"/>
                    <w:bidi w:val="0"/>
                    <w:snapToGrid/>
                    <w:spacing w:line="240" w:lineRule="auto"/>
                    <w:ind w:firstLine="0" w:firstLineChars="0"/>
                    <w:jc w:val="left"/>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4.相关合理化建议。</w:t>
                  </w:r>
                </w:p>
                <w:p>
                  <w:pPr>
                    <w:keepNext w:val="0"/>
                    <w:keepLines w:val="0"/>
                    <w:pageBreakBefore w:val="0"/>
                    <w:kinsoku/>
                    <w:overflowPunct/>
                    <w:topLinePunct w:val="0"/>
                    <w:bidi w:val="0"/>
                    <w:snapToGrid/>
                    <w:spacing w:line="240" w:lineRule="auto"/>
                    <w:ind w:firstLine="0" w:firstLineChars="0"/>
                    <w:jc w:val="left"/>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（二）评分标准：</w:t>
                  </w:r>
                </w:p>
                <w:p>
                  <w:pPr>
                    <w:keepNext w:val="0"/>
                    <w:keepLines w:val="0"/>
                    <w:pageBreakBefore w:val="0"/>
                    <w:kinsoku/>
                    <w:overflowPunct/>
                    <w:topLinePunct w:val="0"/>
                    <w:bidi w:val="0"/>
                    <w:snapToGrid/>
                    <w:spacing w:line="240" w:lineRule="auto"/>
                    <w:ind w:firstLine="0" w:firstLineChars="0"/>
                    <w:jc w:val="left"/>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1.方案及合理化建议具备以上4项内容，如果全部满足得8分，满足任意三项得6分，满足任意两点得4分，满足任意一点得2分，未满足不得分。</w:t>
                  </w:r>
                </w:p>
                <w:p>
                  <w:pPr>
                    <w:keepNext w:val="0"/>
                    <w:keepLines w:val="0"/>
                    <w:pageBreakBefore w:val="0"/>
                    <w:kinsoku/>
                    <w:overflowPunct/>
                    <w:topLinePunct w:val="0"/>
                    <w:bidi w:val="0"/>
                    <w:snapToGrid/>
                    <w:spacing w:line="240" w:lineRule="auto"/>
                    <w:ind w:firstLine="0" w:firstLineChars="0"/>
                    <w:jc w:val="left"/>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2.在此基础上，专家根据具体响应内容按照量化的评审因素指标进一步评审：</w:t>
                  </w:r>
                </w:p>
                <w:p>
                  <w:pPr>
                    <w:keepNext w:val="0"/>
                    <w:keepLines w:val="0"/>
                    <w:pageBreakBefore w:val="0"/>
                    <w:kinsoku/>
                    <w:overflowPunct/>
                    <w:topLinePunct w:val="0"/>
                    <w:bidi w:val="0"/>
                    <w:snapToGrid/>
                    <w:spacing w:line="240" w:lineRule="auto"/>
                    <w:ind w:firstLine="0" w:firstLineChars="0"/>
                    <w:jc w:val="left"/>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评审为优的加2分；</w:t>
                  </w:r>
                </w:p>
                <w:p>
                  <w:pPr>
                    <w:keepNext w:val="0"/>
                    <w:keepLines w:val="0"/>
                    <w:pageBreakBefore w:val="0"/>
                    <w:kinsoku/>
                    <w:overflowPunct/>
                    <w:topLinePunct w:val="0"/>
                    <w:bidi w:val="0"/>
                    <w:snapToGrid/>
                    <w:spacing w:line="240" w:lineRule="auto"/>
                    <w:ind w:firstLine="0" w:firstLineChars="0"/>
                    <w:jc w:val="left"/>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评审为中的加1分；</w:t>
                  </w:r>
                </w:p>
                <w:p>
                  <w:pP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评审为差的不得分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2</w:t>
                  </w:r>
                </w:p>
              </w:tc>
              <w:tc>
                <w:tcPr>
                  <w:tcW w:w="1379"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项目重点难点分析及合理化建议</w:t>
                  </w:r>
                </w:p>
              </w:tc>
              <w:tc>
                <w:tcPr>
                  <w:tcW w:w="506"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10</w:t>
                  </w:r>
                </w:p>
              </w:tc>
              <w:tc>
                <w:tcPr>
                  <w:tcW w:w="713"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专家评分</w:t>
                  </w:r>
                </w:p>
              </w:tc>
              <w:tc>
                <w:tcPr>
                  <w:tcW w:w="6490" w:type="dxa"/>
                  <w:noWrap w:val="0"/>
                  <w:vAlign w:val="center"/>
                </w:tcPr>
                <w:p>
                  <w:pPr>
                    <w:keepNext w:val="0"/>
                    <w:keepLines w:val="0"/>
                    <w:pageBreakBefore w:val="0"/>
                    <w:kinsoku/>
                    <w:overflowPunct/>
                    <w:topLinePunct w:val="0"/>
                    <w:bidi w:val="0"/>
                    <w:snapToGrid/>
                    <w:spacing w:line="240" w:lineRule="auto"/>
                    <w:ind w:firstLine="0" w:firstLineChars="0"/>
                    <w:jc w:val="left"/>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（一）评审内容：</w:t>
                  </w:r>
                </w:p>
                <w:p>
                  <w:pPr>
                    <w:keepNext w:val="0"/>
                    <w:keepLines w:val="0"/>
                    <w:pageBreakBefore w:val="0"/>
                    <w:kinsoku/>
                    <w:overflowPunct/>
                    <w:topLinePunct w:val="0"/>
                    <w:bidi w:val="0"/>
                    <w:snapToGrid/>
                    <w:spacing w:line="240" w:lineRule="auto"/>
                    <w:ind w:firstLine="0" w:firstLineChars="0"/>
                    <w:jc w:val="left"/>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投标人提供的材料须包括：</w:t>
                  </w:r>
                </w:p>
                <w:p>
                  <w:pPr>
                    <w:keepNext w:val="0"/>
                    <w:keepLines w:val="0"/>
                    <w:pageBreakBefore w:val="0"/>
                    <w:kinsoku/>
                    <w:overflowPunct/>
                    <w:topLinePunct w:val="0"/>
                    <w:bidi w:val="0"/>
                    <w:snapToGrid/>
                    <w:spacing w:line="240" w:lineRule="auto"/>
                    <w:ind w:firstLine="0" w:firstLineChars="0"/>
                    <w:jc w:val="left"/>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1.全面分析符合本项目相关重点难点；</w:t>
                  </w:r>
                </w:p>
                <w:p>
                  <w:pPr>
                    <w:keepNext w:val="0"/>
                    <w:keepLines w:val="0"/>
                    <w:pageBreakBefore w:val="0"/>
                    <w:kinsoku/>
                    <w:overflowPunct/>
                    <w:topLinePunct w:val="0"/>
                    <w:bidi w:val="0"/>
                    <w:snapToGrid/>
                    <w:spacing w:line="240" w:lineRule="auto"/>
                    <w:ind w:firstLine="0" w:firstLineChars="0"/>
                    <w:jc w:val="left"/>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2.有针对性的提出重点难点的应对措施；</w:t>
                  </w:r>
                </w:p>
                <w:p>
                  <w:pPr>
                    <w:keepNext w:val="0"/>
                    <w:keepLines w:val="0"/>
                    <w:pageBreakBefore w:val="0"/>
                    <w:kinsoku/>
                    <w:overflowPunct/>
                    <w:topLinePunct w:val="0"/>
                    <w:bidi w:val="0"/>
                    <w:snapToGrid/>
                    <w:spacing w:line="240" w:lineRule="auto"/>
                    <w:ind w:firstLine="0" w:firstLineChars="0"/>
                    <w:jc w:val="left"/>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3.结合上述内容提出合理的建议。</w:t>
                  </w:r>
                </w:p>
                <w:p>
                  <w:pPr>
                    <w:keepNext w:val="0"/>
                    <w:keepLines w:val="0"/>
                    <w:pageBreakBefore w:val="0"/>
                    <w:kinsoku/>
                    <w:overflowPunct/>
                    <w:topLinePunct w:val="0"/>
                    <w:bidi w:val="0"/>
                    <w:snapToGrid/>
                    <w:spacing w:line="240" w:lineRule="auto"/>
                    <w:ind w:firstLine="0" w:firstLineChars="0"/>
                    <w:jc w:val="left"/>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（二）评审标准：</w:t>
                  </w:r>
                </w:p>
                <w:p>
                  <w:pPr>
                    <w:keepNext w:val="0"/>
                    <w:keepLines w:val="0"/>
                    <w:pageBreakBefore w:val="0"/>
                    <w:kinsoku/>
                    <w:overflowPunct/>
                    <w:topLinePunct w:val="0"/>
                    <w:bidi w:val="0"/>
                    <w:snapToGrid/>
                    <w:spacing w:line="240" w:lineRule="auto"/>
                    <w:ind w:firstLine="0" w:firstLineChars="0"/>
                    <w:jc w:val="left"/>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1.项目重点难点分析及合理化建议具备以上3项内容，如果全部满足得8分，满足任意两项得5分，满足任意一项得2分，未满足不得分。</w:t>
                  </w:r>
                </w:p>
                <w:p>
                  <w:pPr>
                    <w:keepNext w:val="0"/>
                    <w:keepLines w:val="0"/>
                    <w:pageBreakBefore w:val="0"/>
                    <w:kinsoku/>
                    <w:overflowPunct/>
                    <w:topLinePunct w:val="0"/>
                    <w:bidi w:val="0"/>
                    <w:snapToGrid/>
                    <w:spacing w:line="240" w:lineRule="auto"/>
                    <w:ind w:firstLine="0" w:firstLineChars="0"/>
                    <w:jc w:val="left"/>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2.在此基础上，专家根据具体响应内容按照量化的评审因素指标进一步评审：</w:t>
                  </w:r>
                </w:p>
                <w:p>
                  <w:pPr>
                    <w:keepNext w:val="0"/>
                    <w:keepLines w:val="0"/>
                    <w:pageBreakBefore w:val="0"/>
                    <w:kinsoku/>
                    <w:overflowPunct/>
                    <w:topLinePunct w:val="0"/>
                    <w:bidi w:val="0"/>
                    <w:snapToGrid/>
                    <w:spacing w:line="240" w:lineRule="auto"/>
                    <w:ind w:firstLine="0" w:firstLineChars="0"/>
                    <w:jc w:val="left"/>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评审为优的加2分；</w:t>
                  </w:r>
                </w:p>
                <w:p>
                  <w:pPr>
                    <w:keepNext w:val="0"/>
                    <w:keepLines w:val="0"/>
                    <w:pageBreakBefore w:val="0"/>
                    <w:kinsoku/>
                    <w:overflowPunct/>
                    <w:topLinePunct w:val="0"/>
                    <w:bidi w:val="0"/>
                    <w:snapToGrid/>
                    <w:spacing w:line="240" w:lineRule="auto"/>
                    <w:ind w:firstLine="0" w:firstLineChars="0"/>
                    <w:jc w:val="left"/>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评审为中的加1分；</w:t>
                  </w:r>
                </w:p>
                <w:p>
                  <w:pP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评审为差的不得分。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3</w:t>
                  </w:r>
                </w:p>
              </w:tc>
              <w:tc>
                <w:tcPr>
                  <w:tcW w:w="1379" w:type="dxa"/>
                  <w:noWrap w:val="0"/>
                  <w:vAlign w:val="center"/>
                </w:tcPr>
                <w:p>
                  <w:pPr>
                    <w:spacing w:line="240" w:lineRule="auto"/>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质量（完成时间、安全、环保）保障措施及方案</w:t>
                  </w:r>
                </w:p>
              </w:tc>
              <w:tc>
                <w:tcPr>
                  <w:tcW w:w="506"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10</w:t>
                  </w:r>
                </w:p>
              </w:tc>
              <w:tc>
                <w:tcPr>
                  <w:tcW w:w="713"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专家评分</w:t>
                  </w:r>
                </w:p>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p>
              </w:tc>
              <w:tc>
                <w:tcPr>
                  <w:tcW w:w="6490" w:type="dxa"/>
                  <w:noWrap w:val="0"/>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jc w:val="left"/>
                    <w:textAlignment w:val="auto"/>
                    <w:rPr>
                      <w:rFonts w:hint="eastAsia" w:ascii="仿宋_GB2312" w:hAnsi="仿宋_GB2312" w:eastAsia="仿宋_GB2312" w:cs="仿宋_GB2312"/>
                      <w:sz w:val="24"/>
                      <w:lang w:bidi="ar"/>
                    </w:rPr>
                  </w:pPr>
                  <w:r>
                    <w:rPr>
                      <w:rFonts w:hint="eastAsia" w:ascii="仿宋_GB2312" w:hAnsi="仿宋_GB2312" w:eastAsia="仿宋_GB2312" w:cs="仿宋_GB2312"/>
                      <w:sz w:val="24"/>
                      <w:lang w:bidi="ar"/>
                    </w:rPr>
                    <w:t>（一）评分内容：</w:t>
                  </w:r>
                </w:p>
                <w:p>
                  <w:pPr>
                    <w:keepNext w:val="0"/>
                    <w:keepLines w:val="0"/>
                    <w:widowControl/>
                    <w:suppressLineNumbers w:val="0"/>
                    <w:pBdr>
                      <w:top w:val="none" w:color="auto" w:sz="0" w:space="0"/>
                      <w:left w:val="none" w:color="auto" w:sz="0" w:space="0"/>
                      <w:bottom w:val="none" w:color="auto" w:sz="0" w:space="0"/>
                      <w:right w:val="none" w:color="auto" w:sz="0" w:space="0"/>
                    </w:pBdr>
                    <w:wordWrap/>
                    <w:jc w:val="left"/>
                    <w:textAlignment w:val="auto"/>
                    <w:rPr>
                      <w:rFonts w:hint="eastAsia" w:ascii="仿宋_GB2312" w:hAnsi="仿宋_GB2312" w:eastAsia="仿宋_GB2312" w:cs="仿宋_GB2312"/>
                      <w:sz w:val="24"/>
                      <w:lang w:bidi="ar"/>
                    </w:rPr>
                  </w:pPr>
                  <w:r>
                    <w:rPr>
                      <w:rFonts w:hint="eastAsia" w:ascii="仿宋_GB2312" w:hAnsi="仿宋_GB2312" w:eastAsia="仿宋_GB2312" w:cs="仿宋_GB2312"/>
                      <w:sz w:val="24"/>
                      <w:lang w:bidi="ar"/>
                    </w:rPr>
                    <w:t>1、质量保障措施；</w:t>
                  </w:r>
                </w:p>
                <w:p>
                  <w:pPr>
                    <w:keepNext w:val="0"/>
                    <w:keepLines w:val="0"/>
                    <w:widowControl/>
                    <w:suppressLineNumbers w:val="0"/>
                    <w:pBdr>
                      <w:top w:val="none" w:color="auto" w:sz="0" w:space="0"/>
                      <w:left w:val="none" w:color="auto" w:sz="0" w:space="0"/>
                      <w:bottom w:val="none" w:color="auto" w:sz="0" w:space="0"/>
                      <w:right w:val="none" w:color="auto" w:sz="0" w:space="0"/>
                    </w:pBdr>
                    <w:wordWrap/>
                    <w:jc w:val="left"/>
                    <w:textAlignment w:val="auto"/>
                    <w:rPr>
                      <w:rFonts w:hint="eastAsia" w:ascii="仿宋_GB2312" w:hAnsi="仿宋_GB2312" w:eastAsia="仿宋_GB2312" w:cs="仿宋_GB2312"/>
                      <w:sz w:val="24"/>
                      <w:lang w:bidi="ar"/>
                    </w:rPr>
                  </w:pPr>
                  <w:r>
                    <w:rPr>
                      <w:rFonts w:hint="eastAsia" w:ascii="仿宋_GB2312" w:hAnsi="仿宋_GB2312" w:eastAsia="仿宋_GB2312" w:cs="仿宋_GB2312"/>
                      <w:sz w:val="24"/>
                      <w:lang w:bidi="ar"/>
                    </w:rPr>
                    <w:t>2、档案的建立与管理</w:t>
                  </w:r>
                </w:p>
                <w:p>
                  <w:pPr>
                    <w:keepNext w:val="0"/>
                    <w:keepLines w:val="0"/>
                    <w:widowControl/>
                    <w:suppressLineNumbers w:val="0"/>
                    <w:pBdr>
                      <w:top w:val="none" w:color="auto" w:sz="0" w:space="0"/>
                      <w:left w:val="none" w:color="auto" w:sz="0" w:space="0"/>
                      <w:bottom w:val="none" w:color="auto" w:sz="0" w:space="0"/>
                      <w:right w:val="none" w:color="auto" w:sz="0" w:space="0"/>
                    </w:pBdr>
                    <w:wordWrap/>
                    <w:jc w:val="left"/>
                    <w:textAlignment w:val="auto"/>
                    <w:rPr>
                      <w:rFonts w:hint="eastAsia" w:ascii="仿宋_GB2312" w:hAnsi="仿宋_GB2312" w:eastAsia="仿宋_GB2312" w:cs="仿宋_GB2312"/>
                      <w:sz w:val="24"/>
                      <w:lang w:bidi="ar"/>
                    </w:rPr>
                  </w:pPr>
                  <w:r>
                    <w:rPr>
                      <w:rFonts w:hint="eastAsia" w:ascii="仿宋_GB2312" w:hAnsi="仿宋_GB2312" w:eastAsia="仿宋_GB2312" w:cs="仿宋_GB2312"/>
                      <w:sz w:val="24"/>
                      <w:lang w:bidi="ar"/>
                    </w:rPr>
                    <w:t>3、应急方案；</w:t>
                  </w:r>
                </w:p>
                <w:p>
                  <w:pPr>
                    <w:keepNext w:val="0"/>
                    <w:keepLines w:val="0"/>
                    <w:widowControl/>
                    <w:suppressLineNumbers w:val="0"/>
                    <w:pBdr>
                      <w:top w:val="none" w:color="auto" w:sz="0" w:space="0"/>
                      <w:left w:val="none" w:color="auto" w:sz="0" w:space="0"/>
                      <w:bottom w:val="none" w:color="auto" w:sz="0" w:space="0"/>
                      <w:right w:val="none" w:color="auto" w:sz="0" w:space="0"/>
                    </w:pBdr>
                    <w:wordWrap/>
                    <w:jc w:val="left"/>
                    <w:textAlignment w:val="auto"/>
                    <w:rPr>
                      <w:rFonts w:hint="eastAsia" w:ascii="仿宋_GB2312" w:hAnsi="仿宋_GB2312" w:eastAsia="仿宋_GB2312" w:cs="仿宋_GB2312"/>
                      <w:sz w:val="24"/>
                      <w:lang w:bidi="ar"/>
                    </w:rPr>
                  </w:pPr>
                  <w:r>
                    <w:rPr>
                      <w:rFonts w:hint="eastAsia" w:ascii="仿宋_GB2312" w:hAnsi="仿宋_GB2312" w:eastAsia="仿宋_GB2312" w:cs="仿宋_GB2312"/>
                      <w:sz w:val="24"/>
                      <w:lang w:bidi="ar"/>
                    </w:rPr>
                    <w:t>（二）评分依据：</w:t>
                  </w:r>
                </w:p>
                <w:p>
                  <w:pPr>
                    <w:keepNext w:val="0"/>
                    <w:keepLines w:val="0"/>
                    <w:pageBreakBefore w:val="0"/>
                    <w:kinsoku/>
                    <w:overflowPunct/>
                    <w:topLinePunct w:val="0"/>
                    <w:bidi w:val="0"/>
                    <w:snapToGrid/>
                    <w:spacing w:line="240" w:lineRule="auto"/>
                    <w:ind w:firstLine="0" w:firstLineChars="0"/>
                    <w:jc w:val="left"/>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1.项目重点难点分析及合理化建议具备以上3项内容，如果全部满足得8分，满足任意两项得5分，满足任意一项得2分，未满足不得分。</w:t>
                  </w:r>
                </w:p>
                <w:p>
                  <w:pPr>
                    <w:keepNext w:val="0"/>
                    <w:keepLines w:val="0"/>
                    <w:pageBreakBefore w:val="0"/>
                    <w:kinsoku/>
                    <w:overflowPunct/>
                    <w:topLinePunct w:val="0"/>
                    <w:bidi w:val="0"/>
                    <w:snapToGrid/>
                    <w:spacing w:line="240" w:lineRule="auto"/>
                    <w:ind w:firstLine="0" w:firstLineChars="0"/>
                    <w:jc w:val="left"/>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2.在此基础上，专家根据具体响应内容按照量化的评审因素指标进一步评审</w:t>
                  </w:r>
                  <w:r>
                    <w:rPr>
                      <w:rFonts w:hint="eastAsia" w:ascii="仿宋_GB2312" w:hAnsi="仿宋_GB2312" w:eastAsia="仿宋_GB2312" w:cs="仿宋_GB2312"/>
                      <w:b w:val="0"/>
                      <w:bCs w:val="0"/>
                      <w:color w:val="auto"/>
                      <w:kern w:val="2"/>
                      <w:sz w:val="24"/>
                      <w:szCs w:val="24"/>
                      <w:lang w:val="en-US" w:eastAsia="zh-CN" w:bidi="ar-SA"/>
                    </w:rPr>
                    <w:t>:</w:t>
                  </w:r>
                </w:p>
                <w:p>
                  <w:pPr>
                    <w:keepNext w:val="0"/>
                    <w:keepLines w:val="0"/>
                    <w:pageBreakBefore w:val="0"/>
                    <w:kinsoku/>
                    <w:overflowPunct/>
                    <w:topLinePunct w:val="0"/>
                    <w:bidi w:val="0"/>
                    <w:snapToGrid/>
                    <w:spacing w:line="240" w:lineRule="auto"/>
                    <w:ind w:firstLine="0" w:firstLineChars="0"/>
                    <w:jc w:val="left"/>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评审为优的加2分；</w:t>
                  </w:r>
                </w:p>
                <w:p>
                  <w:pPr>
                    <w:keepNext w:val="0"/>
                    <w:keepLines w:val="0"/>
                    <w:pageBreakBefore w:val="0"/>
                    <w:kinsoku/>
                    <w:overflowPunct/>
                    <w:topLinePunct w:val="0"/>
                    <w:bidi w:val="0"/>
                    <w:snapToGrid/>
                    <w:spacing w:line="240" w:lineRule="auto"/>
                    <w:ind w:firstLine="0" w:firstLineChars="0"/>
                    <w:jc w:val="left"/>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评审为中的加1分；</w:t>
                  </w:r>
                </w:p>
                <w:p>
                  <w:pP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评审为差的不得分。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4</w:t>
                  </w:r>
                </w:p>
              </w:tc>
              <w:tc>
                <w:tcPr>
                  <w:tcW w:w="1379"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sz w:val="24"/>
                    </w:rPr>
                    <w:t>项目完成（服务期满）后的服务承诺</w:t>
                  </w:r>
                </w:p>
              </w:tc>
              <w:tc>
                <w:tcPr>
                  <w:tcW w:w="506"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b w:val="0"/>
                      <w:bCs w:val="0"/>
                      <w:color w:val="auto"/>
                      <w:kern w:val="2"/>
                      <w:sz w:val="24"/>
                      <w:szCs w:val="24"/>
                      <w:lang w:val="en-US" w:eastAsia="zh-CN" w:bidi="ar-SA"/>
                    </w:rPr>
                    <w:t>5</w:t>
                  </w:r>
                </w:p>
              </w:tc>
              <w:tc>
                <w:tcPr>
                  <w:tcW w:w="713"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专家评分</w:t>
                  </w:r>
                </w:p>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p>
              </w:tc>
              <w:tc>
                <w:tcPr>
                  <w:tcW w:w="6490" w:type="dxa"/>
                  <w:noWrap w:val="0"/>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jc w:val="left"/>
                    <w:textAlignment w:val="auto"/>
                    <w:rPr>
                      <w:rFonts w:hint="eastAsia" w:ascii="仿宋_GB2312" w:hAnsi="仿宋_GB2312" w:eastAsia="仿宋_GB2312" w:cs="仿宋_GB2312"/>
                      <w:sz w:val="24"/>
                      <w:lang w:bidi="ar"/>
                    </w:rPr>
                  </w:pPr>
                  <w:r>
                    <w:rPr>
                      <w:rFonts w:hint="eastAsia" w:ascii="仿宋_GB2312" w:hAnsi="仿宋_GB2312" w:eastAsia="仿宋_GB2312" w:cs="仿宋_GB2312"/>
                      <w:sz w:val="24"/>
                      <w:lang w:bidi="ar"/>
                    </w:rPr>
                    <w:t>（一）评审内容：</w:t>
                  </w:r>
                </w:p>
                <w:p>
                  <w:pPr>
                    <w:keepNext w:val="0"/>
                    <w:keepLines w:val="0"/>
                    <w:widowControl/>
                    <w:suppressLineNumbers w:val="0"/>
                    <w:pBdr>
                      <w:top w:val="none" w:color="auto" w:sz="0" w:space="0"/>
                      <w:left w:val="none" w:color="auto" w:sz="0" w:space="0"/>
                      <w:bottom w:val="none" w:color="auto" w:sz="0" w:space="0"/>
                      <w:right w:val="none" w:color="auto" w:sz="0" w:space="0"/>
                    </w:pBdr>
                    <w:wordWrap/>
                    <w:jc w:val="left"/>
                    <w:textAlignment w:val="auto"/>
                    <w:rPr>
                      <w:rFonts w:hint="eastAsia" w:ascii="仿宋_GB2312" w:hAnsi="仿宋_GB2312" w:eastAsia="仿宋_GB2312" w:cs="仿宋_GB2312"/>
                      <w:sz w:val="24"/>
                      <w:lang w:bidi="ar"/>
                    </w:rPr>
                  </w:pPr>
                  <w:r>
                    <w:rPr>
                      <w:rFonts w:hint="eastAsia" w:ascii="仿宋_GB2312" w:hAnsi="仿宋_GB2312" w:eastAsia="仿宋_GB2312" w:cs="仿宋_GB2312"/>
                      <w:sz w:val="24"/>
                      <w:lang w:bidi="ar"/>
                    </w:rPr>
                    <w:t>投标人承诺以下全部三项的得</w:t>
                  </w:r>
                  <w:r>
                    <w:rPr>
                      <w:rStyle w:val="10"/>
                      <w:rFonts w:hint="eastAsia" w:ascii="仿宋_GB2312" w:hAnsi="仿宋_GB2312" w:eastAsia="仿宋_GB2312" w:cs="仿宋_GB2312"/>
                      <w:b w:val="0"/>
                      <w:bCs w:val="0"/>
                      <w:kern w:val="2"/>
                      <w:sz w:val="24"/>
                      <w:szCs w:val="24"/>
                      <w:lang w:val="en-US" w:eastAsia="zh-CN" w:bidi="ar"/>
                    </w:rPr>
                    <w:t>5</w:t>
                  </w:r>
                  <w:r>
                    <w:rPr>
                      <w:rFonts w:hint="eastAsia" w:ascii="仿宋_GB2312" w:hAnsi="仿宋_GB2312" w:eastAsia="仿宋_GB2312" w:cs="仿宋_GB2312"/>
                      <w:sz w:val="24"/>
                      <w:lang w:bidi="ar"/>
                    </w:rPr>
                    <w:t xml:space="preserve">分,否则不得分。 </w:t>
                  </w:r>
                </w:p>
                <w:p>
                  <w:pPr>
                    <w:keepNext w:val="0"/>
                    <w:keepLines w:val="0"/>
                    <w:widowControl/>
                    <w:suppressLineNumbers w:val="0"/>
                    <w:pBdr>
                      <w:top w:val="none" w:color="auto" w:sz="0" w:space="0"/>
                      <w:left w:val="none" w:color="auto" w:sz="0" w:space="0"/>
                      <w:bottom w:val="none" w:color="auto" w:sz="0" w:space="0"/>
                      <w:right w:val="none" w:color="auto" w:sz="0" w:space="0"/>
                    </w:pBdr>
                    <w:wordWrap/>
                    <w:jc w:val="left"/>
                    <w:textAlignment w:val="auto"/>
                    <w:rPr>
                      <w:rFonts w:hint="eastAsia" w:ascii="仿宋_GB2312" w:hAnsi="仿宋_GB2312" w:eastAsia="仿宋_GB2312" w:cs="仿宋_GB2312"/>
                      <w:sz w:val="24"/>
                      <w:lang w:bidi="ar"/>
                    </w:rPr>
                  </w:pPr>
                  <w:r>
                    <w:rPr>
                      <w:rFonts w:hint="eastAsia" w:ascii="仿宋_GB2312" w:hAnsi="仿宋_GB2312" w:eastAsia="仿宋_GB2312" w:cs="仿宋_GB2312"/>
                      <w:sz w:val="24"/>
                      <w:lang w:bidi="ar"/>
                    </w:rPr>
                    <w:t xml:space="preserve">1.服务期满后主动撤场； </w:t>
                  </w:r>
                </w:p>
                <w:p>
                  <w:pPr>
                    <w:keepNext w:val="0"/>
                    <w:keepLines w:val="0"/>
                    <w:widowControl/>
                    <w:suppressLineNumbers w:val="0"/>
                    <w:pBdr>
                      <w:top w:val="none" w:color="auto" w:sz="0" w:space="0"/>
                      <w:left w:val="none" w:color="auto" w:sz="0" w:space="0"/>
                      <w:bottom w:val="none" w:color="auto" w:sz="0" w:space="0"/>
                      <w:right w:val="none" w:color="auto" w:sz="0" w:space="0"/>
                    </w:pBdr>
                    <w:wordWrap/>
                    <w:jc w:val="left"/>
                    <w:textAlignment w:val="auto"/>
                    <w:rPr>
                      <w:rFonts w:hint="eastAsia" w:ascii="仿宋_GB2312" w:hAnsi="仿宋_GB2312" w:eastAsia="仿宋_GB2312" w:cs="仿宋_GB2312"/>
                      <w:sz w:val="24"/>
                      <w:lang w:bidi="ar"/>
                    </w:rPr>
                  </w:pPr>
                  <w:r>
                    <w:rPr>
                      <w:rFonts w:hint="eastAsia" w:ascii="仿宋_GB2312" w:hAnsi="仿宋_GB2312" w:eastAsia="仿宋_GB2312" w:cs="仿宋_GB2312"/>
                      <w:sz w:val="24"/>
                      <w:lang w:bidi="ar"/>
                    </w:rPr>
                    <w:t xml:space="preserve">2.与后续服务公司进行交接； </w:t>
                  </w:r>
                </w:p>
                <w:p>
                  <w:pPr>
                    <w:keepNext w:val="0"/>
                    <w:keepLines w:val="0"/>
                    <w:widowControl/>
                    <w:suppressLineNumbers w:val="0"/>
                    <w:pBdr>
                      <w:top w:val="none" w:color="auto" w:sz="0" w:space="0"/>
                      <w:left w:val="none" w:color="auto" w:sz="0" w:space="0"/>
                      <w:bottom w:val="none" w:color="auto" w:sz="0" w:space="0"/>
                      <w:right w:val="none" w:color="auto" w:sz="0" w:space="0"/>
                    </w:pBdr>
                    <w:wordWrap/>
                    <w:jc w:val="left"/>
                    <w:textAlignment w:val="auto"/>
                    <w:rPr>
                      <w:rFonts w:hint="eastAsia" w:ascii="仿宋_GB2312" w:hAnsi="仿宋_GB2312" w:eastAsia="仿宋_GB2312" w:cs="仿宋_GB2312"/>
                      <w:sz w:val="24"/>
                      <w:lang w:bidi="ar"/>
                    </w:rPr>
                  </w:pPr>
                  <w:r>
                    <w:rPr>
                      <w:rFonts w:hint="eastAsia" w:ascii="仿宋_GB2312" w:hAnsi="仿宋_GB2312" w:eastAsia="仿宋_GB2312" w:cs="仿宋_GB2312"/>
                      <w:sz w:val="24"/>
                      <w:lang w:bidi="ar"/>
                    </w:rPr>
                    <w:t xml:space="preserve">3.服务期满以后新服务公司到位前仍按原合同提供服务。 </w:t>
                  </w:r>
                </w:p>
                <w:p>
                  <w:pPr>
                    <w:keepNext w:val="0"/>
                    <w:keepLines w:val="0"/>
                    <w:widowControl/>
                    <w:suppressLineNumbers w:val="0"/>
                    <w:pBdr>
                      <w:top w:val="none" w:color="auto" w:sz="0" w:space="0"/>
                      <w:left w:val="none" w:color="auto" w:sz="0" w:space="0"/>
                      <w:bottom w:val="none" w:color="auto" w:sz="0" w:space="0"/>
                      <w:right w:val="none" w:color="auto" w:sz="0" w:space="0"/>
                    </w:pBdr>
                    <w:wordWrap/>
                    <w:jc w:val="left"/>
                    <w:textAlignment w:val="auto"/>
                    <w:rPr>
                      <w:rFonts w:hint="eastAsia" w:ascii="仿宋_GB2312" w:hAnsi="仿宋_GB2312" w:eastAsia="仿宋_GB2312" w:cs="仿宋_GB2312"/>
                      <w:sz w:val="24"/>
                      <w:lang w:bidi="ar"/>
                    </w:rPr>
                  </w:pPr>
                  <w:r>
                    <w:rPr>
                      <w:rFonts w:hint="eastAsia" w:ascii="仿宋_GB2312" w:hAnsi="仿宋_GB2312" w:eastAsia="仿宋_GB2312" w:cs="仿宋_GB2312"/>
                      <w:sz w:val="24"/>
                      <w:lang w:bidi="ar"/>
                    </w:rPr>
                    <w:t xml:space="preserve">（二）评分依据： </w:t>
                  </w:r>
                </w:p>
                <w:p>
                  <w:pPr>
                    <w:rPr>
                      <w:rFonts w:hint="eastAsia" w:ascii="仿宋_GB2312" w:hAnsi="仿宋_GB2312" w:eastAsia="仿宋_GB2312" w:cs="仿宋_GB2312"/>
                      <w:color w:val="auto"/>
                      <w:kern w:val="2"/>
                      <w:sz w:val="24"/>
                      <w:szCs w:val="24"/>
                      <w:lang w:val="en-US" w:eastAsia="zh-CN" w:bidi="ar-SA"/>
                    </w:rPr>
                  </w:pPr>
                  <w:r>
                    <w:rPr>
                      <w:rStyle w:val="10"/>
                      <w:rFonts w:hint="eastAsia" w:ascii="仿宋_GB2312" w:hAnsi="仿宋_GB2312" w:eastAsia="仿宋_GB2312" w:cs="仿宋_GB2312"/>
                      <w:b w:val="0"/>
                      <w:bCs w:val="0"/>
                      <w:kern w:val="2"/>
                      <w:sz w:val="24"/>
                      <w:szCs w:val="24"/>
                      <w:lang w:val="en-US" w:eastAsia="zh-CN" w:bidi="ar"/>
                    </w:rPr>
                    <w:t>1.</w:t>
                  </w:r>
                  <w:r>
                    <w:rPr>
                      <w:rFonts w:hint="eastAsia" w:ascii="仿宋_GB2312" w:hAnsi="仿宋_GB2312" w:eastAsia="仿宋_GB2312" w:cs="仿宋_GB2312"/>
                      <w:sz w:val="24"/>
                      <w:lang w:bidi="ar"/>
                    </w:rPr>
                    <w:t>要求提供承诺函（格式自拟）作为得分依据。（未提供或未按要求提供或提供的不清晰导致专家无法判断的，不得分）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6"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5</w:t>
                  </w:r>
                </w:p>
              </w:tc>
              <w:tc>
                <w:tcPr>
                  <w:tcW w:w="1379" w:type="dxa"/>
                  <w:noWrap w:val="0"/>
                  <w:vAlign w:val="center"/>
                </w:tcPr>
                <w:p>
                  <w:pPr>
                    <w:spacing w:line="240" w:lineRule="auto"/>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违约承诺</w:t>
                  </w:r>
                </w:p>
              </w:tc>
              <w:tc>
                <w:tcPr>
                  <w:tcW w:w="506" w:type="dxa"/>
                  <w:noWrap w:val="0"/>
                  <w:vAlign w:val="center"/>
                </w:tcPr>
                <w:p>
                  <w:pPr>
                    <w:spacing w:line="240" w:lineRule="auto"/>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5</w:t>
                  </w:r>
                </w:p>
              </w:tc>
              <w:tc>
                <w:tcPr>
                  <w:tcW w:w="713"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b w:val="0"/>
                      <w:bCs w:val="0"/>
                      <w:color w:val="auto"/>
                      <w:kern w:val="2"/>
                      <w:sz w:val="24"/>
                      <w:szCs w:val="24"/>
                      <w:lang w:val="en-US" w:eastAsia="zh-CN" w:bidi="ar-SA"/>
                    </w:rPr>
                  </w:pPr>
                  <w:r>
                    <w:rPr>
                      <w:rFonts w:hint="eastAsia" w:ascii="仿宋_GB2312" w:hAnsi="仿宋_GB2312" w:eastAsia="仿宋_GB2312" w:cs="仿宋_GB2312"/>
                      <w:b w:val="0"/>
                      <w:bCs w:val="0"/>
                      <w:color w:val="auto"/>
                      <w:kern w:val="2"/>
                      <w:sz w:val="24"/>
                      <w:szCs w:val="24"/>
                      <w:lang w:val="en-US" w:eastAsia="zh-CN" w:bidi="ar-SA"/>
                    </w:rPr>
                    <w:t>专家评分</w:t>
                  </w:r>
                </w:p>
                <w:p>
                  <w:pPr>
                    <w:spacing w:line="240" w:lineRule="auto"/>
                    <w:jc w:val="center"/>
                    <w:rPr>
                      <w:rFonts w:hint="eastAsia" w:ascii="仿宋_GB2312" w:hAnsi="仿宋_GB2312" w:eastAsia="仿宋_GB2312" w:cs="仿宋_GB2312"/>
                      <w:color w:val="auto"/>
                      <w:kern w:val="2"/>
                      <w:sz w:val="24"/>
                      <w:szCs w:val="24"/>
                      <w:highlight w:val="none"/>
                      <w:lang w:val="en-US" w:eastAsia="zh-CN" w:bidi="ar-SA"/>
                    </w:rPr>
                  </w:pPr>
                </w:p>
              </w:tc>
              <w:tc>
                <w:tcPr>
                  <w:tcW w:w="6490" w:type="dxa"/>
                  <w:noWrap w:val="0"/>
                  <w:vAlign w:val="top"/>
                </w:tcPr>
                <w:p>
                  <w:pPr>
                    <w:spacing w:line="240" w:lineRule="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（一）评审内容：</w:t>
                  </w:r>
                </w:p>
                <w:p>
                  <w:pPr>
                    <w:spacing w:line="240" w:lineRule="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投标人承诺以下全部三项的得100 分，否则不得分。 </w:t>
                  </w:r>
                </w:p>
                <w:p>
                  <w:pPr>
                    <w:spacing w:line="240" w:lineRule="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1.人员严格按照招标文件及投标承诺配置； </w:t>
                  </w:r>
                </w:p>
                <w:p>
                  <w:pPr>
                    <w:spacing w:line="240" w:lineRule="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2.服务质量达到招标文件要求； </w:t>
                  </w:r>
                </w:p>
                <w:p>
                  <w:pPr>
                    <w:spacing w:line="240" w:lineRule="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3.对未能达到管理要求承担相应管理责任。 </w:t>
                  </w:r>
                </w:p>
                <w:p>
                  <w:pPr>
                    <w:spacing w:line="240" w:lineRule="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（二）评分依据：</w:t>
                  </w:r>
                </w:p>
                <w:p>
                  <w:pPr>
                    <w:spacing w:line="240" w:lineRule="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要求提供承诺函（格式自拟）作为得分依据。（未提供或未按要求提供或提供的不清晰导致专家无法判断的，不得分）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b/>
                      <w:bCs/>
                      <w:color w:val="auto"/>
                      <w:kern w:val="2"/>
                      <w:sz w:val="21"/>
                      <w:szCs w:val="21"/>
                      <w:lang w:val="en-US" w:eastAsia="zh-CN" w:bidi="ar-SA"/>
                    </w:rPr>
                  </w:pPr>
                  <w:r>
                    <w:rPr>
                      <w:rFonts w:hint="eastAsia" w:ascii="仿宋_GB2312" w:hAnsi="仿宋_GB2312" w:eastAsia="仿宋_GB2312" w:cs="仿宋_GB2312"/>
                      <w:b/>
                      <w:bCs/>
                      <w:color w:val="auto"/>
                      <w:kern w:val="2"/>
                      <w:sz w:val="21"/>
                      <w:szCs w:val="21"/>
                      <w:lang w:val="en-US" w:eastAsia="zh-CN" w:bidi="ar-SA"/>
                    </w:rPr>
                    <w:t>三</w:t>
                  </w:r>
                </w:p>
              </w:tc>
              <w:tc>
                <w:tcPr>
                  <w:tcW w:w="1379"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b/>
                      <w:bCs/>
                      <w:color w:val="auto"/>
                      <w:kern w:val="2"/>
                      <w:sz w:val="21"/>
                      <w:szCs w:val="21"/>
                      <w:lang w:val="en-US" w:eastAsia="zh-CN" w:bidi="ar-SA"/>
                    </w:rPr>
                  </w:pPr>
                  <w:r>
                    <w:rPr>
                      <w:rFonts w:hint="eastAsia" w:ascii="仿宋_GB2312" w:hAnsi="仿宋_GB2312" w:eastAsia="仿宋_GB2312" w:cs="仿宋_GB2312"/>
                      <w:b/>
                      <w:bCs/>
                      <w:color w:val="auto"/>
                      <w:kern w:val="2"/>
                      <w:sz w:val="21"/>
                      <w:szCs w:val="21"/>
                      <w:lang w:val="en-US" w:eastAsia="zh-CN" w:bidi="ar-SA"/>
                    </w:rPr>
                    <w:t>商务部分</w:t>
                  </w:r>
                </w:p>
              </w:tc>
              <w:tc>
                <w:tcPr>
                  <w:tcW w:w="7709" w:type="dxa"/>
                  <w:gridSpan w:val="3"/>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b/>
                      <w:bCs/>
                      <w:color w:val="auto"/>
                      <w:sz w:val="21"/>
                      <w:szCs w:val="21"/>
                      <w:lang w:val="en-US" w:eastAsia="zh-CN"/>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b/>
                      <w:bCs/>
                      <w:color w:val="auto"/>
                      <w:kern w:val="2"/>
                      <w:sz w:val="21"/>
                      <w:szCs w:val="21"/>
                      <w:lang w:val="en-US" w:eastAsia="zh-CN" w:bidi="ar-SA"/>
                    </w:rPr>
                  </w:pPr>
                  <w:r>
                    <w:rPr>
                      <w:rFonts w:hint="eastAsia" w:ascii="仿宋_GB2312" w:hAnsi="仿宋_GB2312" w:eastAsia="仿宋_GB2312" w:cs="仿宋_GB2312"/>
                      <w:b/>
                      <w:bCs/>
                      <w:color w:val="auto"/>
                      <w:sz w:val="21"/>
                      <w:szCs w:val="21"/>
                    </w:rPr>
                    <w:t>序号</w:t>
                  </w:r>
                </w:p>
              </w:tc>
              <w:tc>
                <w:tcPr>
                  <w:tcW w:w="1379"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b/>
                      <w:bCs/>
                      <w:color w:val="auto"/>
                      <w:kern w:val="2"/>
                      <w:sz w:val="21"/>
                      <w:szCs w:val="21"/>
                      <w:lang w:val="en-US" w:eastAsia="zh-CN" w:bidi="ar-SA"/>
                    </w:rPr>
                  </w:pPr>
                  <w:r>
                    <w:rPr>
                      <w:rFonts w:hint="eastAsia" w:ascii="仿宋_GB2312" w:hAnsi="仿宋_GB2312" w:eastAsia="仿宋_GB2312" w:cs="仿宋_GB2312"/>
                      <w:b/>
                      <w:bCs/>
                      <w:color w:val="auto"/>
                      <w:sz w:val="21"/>
                      <w:szCs w:val="21"/>
                    </w:rPr>
                    <w:t>评分因素</w:t>
                  </w:r>
                </w:p>
              </w:tc>
              <w:tc>
                <w:tcPr>
                  <w:tcW w:w="506"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b/>
                      <w:bCs/>
                      <w:color w:val="auto"/>
                      <w:kern w:val="2"/>
                      <w:sz w:val="21"/>
                      <w:szCs w:val="21"/>
                      <w:lang w:val="en-US" w:eastAsia="zh-CN" w:bidi="ar-SA"/>
                    </w:rPr>
                  </w:pPr>
                  <w:r>
                    <w:rPr>
                      <w:rFonts w:hint="eastAsia" w:ascii="仿宋_GB2312" w:hAnsi="仿宋_GB2312" w:eastAsia="仿宋_GB2312" w:cs="仿宋_GB2312"/>
                      <w:b/>
                      <w:bCs/>
                      <w:color w:val="auto"/>
                      <w:sz w:val="21"/>
                      <w:szCs w:val="21"/>
                    </w:rPr>
                    <w:t>权重</w:t>
                  </w:r>
                </w:p>
              </w:tc>
              <w:tc>
                <w:tcPr>
                  <w:tcW w:w="713"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b/>
                      <w:bCs/>
                      <w:color w:val="auto"/>
                      <w:kern w:val="2"/>
                      <w:sz w:val="21"/>
                      <w:szCs w:val="21"/>
                      <w:lang w:val="en-US" w:eastAsia="zh-CN" w:bidi="ar-SA"/>
                    </w:rPr>
                  </w:pPr>
                  <w:r>
                    <w:rPr>
                      <w:rFonts w:hint="eastAsia" w:ascii="仿宋_GB2312" w:hAnsi="仿宋_GB2312" w:eastAsia="仿宋_GB2312" w:cs="仿宋_GB2312"/>
                      <w:b/>
                      <w:bCs/>
                      <w:color w:val="auto"/>
                      <w:sz w:val="21"/>
                      <w:szCs w:val="21"/>
                    </w:rPr>
                    <w:t>评分方式</w:t>
                  </w:r>
                </w:p>
              </w:tc>
              <w:tc>
                <w:tcPr>
                  <w:tcW w:w="6490"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b/>
                      <w:bCs/>
                      <w:color w:val="auto"/>
                      <w:kern w:val="2"/>
                      <w:sz w:val="21"/>
                      <w:szCs w:val="21"/>
                      <w:lang w:val="en-US" w:eastAsia="zh-CN" w:bidi="ar-SA"/>
                    </w:rPr>
                  </w:pPr>
                  <w:r>
                    <w:rPr>
                      <w:rFonts w:hint="eastAsia" w:ascii="仿宋_GB2312" w:hAnsi="仿宋_GB2312" w:eastAsia="仿宋_GB2312" w:cs="仿宋_GB2312"/>
                      <w:b/>
                      <w:bCs/>
                      <w:color w:val="auto"/>
                      <w:sz w:val="21"/>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2"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1</w:t>
                  </w:r>
                </w:p>
              </w:tc>
              <w:tc>
                <w:tcPr>
                  <w:tcW w:w="1379" w:type="dxa"/>
                  <w:noWrap w:val="0"/>
                  <w:vAlign w:val="center"/>
                </w:tcPr>
                <w:p>
                  <w:pPr>
                    <w:spacing w:line="240" w:lineRule="auto"/>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2"/>
                      <w:sz w:val="24"/>
                      <w:szCs w:val="24"/>
                      <w:highlight w:val="none"/>
                      <w:lang w:bidi="ar"/>
                    </w:rPr>
                    <w:t>同类项目业绩</w:t>
                  </w:r>
                  <w:r>
                    <w:rPr>
                      <w:rFonts w:hint="eastAsia" w:ascii="仿宋_GB2312" w:hAnsi="仿宋_GB2312" w:eastAsia="仿宋_GB2312" w:cs="仿宋_GB2312"/>
                      <w:color w:val="auto"/>
                      <w:sz w:val="24"/>
                      <w:szCs w:val="24"/>
                      <w:highlight w:val="none"/>
                    </w:rPr>
                    <w:t>况</w:t>
                  </w:r>
                </w:p>
              </w:tc>
              <w:tc>
                <w:tcPr>
                  <w:tcW w:w="506" w:type="dxa"/>
                  <w:noWrap w:val="0"/>
                  <w:vAlign w:val="center"/>
                </w:tcPr>
                <w:p>
                  <w:pPr>
                    <w:keepNext w:val="0"/>
                    <w:keepLines w:val="0"/>
                    <w:pageBreakBefore w:val="0"/>
                    <w:widowControl/>
                    <w:kinsoku/>
                    <w:overflowPunct/>
                    <w:topLinePunct w:val="0"/>
                    <w:bidi w:val="0"/>
                    <w:snapToGrid/>
                    <w:spacing w:line="240" w:lineRule="auto"/>
                    <w:ind w:firstLine="0" w:firstLineChars="0"/>
                    <w:jc w:val="center"/>
                    <w:textAlignment w:val="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i w:val="0"/>
                      <w:iCs w:val="0"/>
                      <w:caps w:val="0"/>
                      <w:color w:val="auto"/>
                      <w:spacing w:val="0"/>
                      <w:kern w:val="2"/>
                      <w:sz w:val="24"/>
                      <w:szCs w:val="24"/>
                      <w:highlight w:val="none"/>
                      <w:shd w:val="clear"/>
                      <w:lang w:val="en-US" w:eastAsia="zh-CN" w:bidi="ar"/>
                    </w:rPr>
                    <w:t>10</w:t>
                  </w:r>
                </w:p>
              </w:tc>
              <w:tc>
                <w:tcPr>
                  <w:tcW w:w="713"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2"/>
                      <w:sz w:val="24"/>
                      <w:szCs w:val="24"/>
                      <w:highlight w:val="none"/>
                      <w:lang w:val="en-US" w:eastAsia="zh-CN" w:bidi="ar-SA"/>
                    </w:rPr>
                    <w:t>专家评分</w:t>
                  </w:r>
                </w:p>
              </w:tc>
              <w:tc>
                <w:tcPr>
                  <w:tcW w:w="6490" w:type="dxa"/>
                  <w:noWrap w:val="0"/>
                  <w:vAlign w:val="top"/>
                </w:tcPr>
                <w:p>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2"/>
                      <w:sz w:val="24"/>
                      <w:szCs w:val="24"/>
                      <w:highlight w:val="none"/>
                      <w:lang w:val="en-US" w:eastAsia="zh-CN" w:bidi="ar"/>
                    </w:rPr>
                    <w:t>（一）评分内容</w:t>
                  </w:r>
                </w:p>
                <w:p>
                  <w:pPr>
                    <w:ind w:firstLineChars="0"/>
                    <w:rPr>
                      <w:rFonts w:hint="eastAsia" w:ascii="仿宋_GB2312" w:hAnsi="仿宋_GB2312" w:eastAsia="仿宋_GB2312" w:cs="仿宋_GB2312"/>
                      <w:color w:val="auto"/>
                      <w:sz w:val="24"/>
                      <w:highlight w:val="none"/>
                      <w:lang w:bidi="ar"/>
                    </w:rPr>
                  </w:pPr>
                  <w:r>
                    <w:rPr>
                      <w:rFonts w:hint="eastAsia" w:ascii="仿宋_GB2312" w:hAnsi="仿宋_GB2312" w:eastAsia="仿宋_GB2312" w:cs="仿宋_GB2312"/>
                      <w:color w:val="auto"/>
                      <w:sz w:val="24"/>
                      <w:highlight w:val="none"/>
                      <w:lang w:bidi="ar"/>
                    </w:rPr>
                    <w:t>根据投标人</w:t>
                  </w:r>
                  <w:r>
                    <w:rPr>
                      <w:rFonts w:hint="eastAsia" w:ascii="仿宋_GB2312" w:hAnsi="仿宋_GB2312" w:eastAsia="仿宋_GB2312" w:cs="仿宋_GB2312"/>
                      <w:color w:val="auto"/>
                      <w:sz w:val="24"/>
                      <w:highlight w:val="none"/>
                      <w:lang w:val="en-US" w:eastAsia="zh-CN" w:bidi="ar"/>
                    </w:rPr>
                    <w:t>自</w:t>
                  </w:r>
                  <w:r>
                    <w:rPr>
                      <w:rFonts w:hint="eastAsia" w:ascii="仿宋_GB2312" w:hAnsi="仿宋_GB2312" w:eastAsia="仿宋_GB2312" w:cs="仿宋_GB2312"/>
                      <w:color w:val="auto"/>
                      <w:sz w:val="24"/>
                      <w:highlight w:val="none"/>
                      <w:lang w:bidi="ar"/>
                    </w:rPr>
                    <w:t>2023年</w:t>
                  </w:r>
                  <w:r>
                    <w:rPr>
                      <w:rFonts w:hint="eastAsia" w:ascii="仿宋_GB2312" w:hAnsi="仿宋_GB2312" w:eastAsia="仿宋_GB2312" w:cs="仿宋_GB2312"/>
                      <w:color w:val="auto"/>
                      <w:sz w:val="24"/>
                      <w:highlight w:val="none"/>
                      <w:lang w:val="en-US" w:eastAsia="zh-CN" w:bidi="ar"/>
                    </w:rPr>
                    <w:t>1月1日至投标截止之日（以合同签订时间为准）</w:t>
                  </w:r>
                  <w:r>
                    <w:rPr>
                      <w:rFonts w:hint="eastAsia" w:ascii="仿宋_GB2312" w:hAnsi="仿宋_GB2312" w:eastAsia="仿宋_GB2312" w:cs="仿宋_GB2312"/>
                      <w:color w:val="auto"/>
                      <w:sz w:val="24"/>
                      <w:highlight w:val="none"/>
                      <w:lang w:bidi="ar"/>
                    </w:rPr>
                    <w:t>承担过的同类项目业绩情况，服务内容含机电设施设备维修维护类,（不要求描述完全相同，意思表述一致即可），</w:t>
                  </w:r>
                </w:p>
                <w:p>
                  <w:pPr>
                    <w:ind w:firstLineChars="0"/>
                  </w:pPr>
                  <w:r>
                    <w:rPr>
                      <w:rFonts w:hint="eastAsia" w:ascii="仿宋_GB2312" w:hAnsi="仿宋_GB2312" w:eastAsia="仿宋_GB2312" w:cs="仿宋_GB2312"/>
                      <w:b w:val="0"/>
                      <w:bCs w:val="0"/>
                      <w:color w:val="auto"/>
                      <w:sz w:val="24"/>
                      <w:szCs w:val="24"/>
                      <w:highlight w:val="none"/>
                      <w:lang w:val="en-US" w:eastAsia="zh-CN" w:bidi="ar"/>
                    </w:rPr>
                    <w:t>1.</w:t>
                  </w:r>
                  <w:r>
                    <w:rPr>
                      <w:rFonts w:hint="eastAsia" w:ascii="仿宋_GB2312" w:hAnsi="仿宋_GB2312" w:eastAsia="仿宋_GB2312" w:cs="仿宋_GB2312"/>
                      <w:b w:val="0"/>
                      <w:bCs w:val="0"/>
                      <w:color w:val="auto"/>
                      <w:sz w:val="24"/>
                      <w:szCs w:val="24"/>
                      <w:highlight w:val="none"/>
                      <w:lang w:bidi="ar"/>
                    </w:rPr>
                    <w:t>每提供1份有效业绩得</w:t>
                  </w:r>
                  <w:r>
                    <w:rPr>
                      <w:rFonts w:hint="eastAsia" w:ascii="仿宋_GB2312" w:hAnsi="仿宋_GB2312" w:eastAsia="仿宋_GB2312" w:cs="仿宋_GB2312"/>
                      <w:b w:val="0"/>
                      <w:bCs w:val="0"/>
                      <w:color w:val="auto"/>
                      <w:sz w:val="24"/>
                      <w:szCs w:val="24"/>
                      <w:highlight w:val="none"/>
                      <w:lang w:val="en-US" w:eastAsia="zh-CN" w:bidi="ar"/>
                    </w:rPr>
                    <w:t>2</w:t>
                  </w:r>
                  <w:r>
                    <w:rPr>
                      <w:rFonts w:hint="eastAsia" w:ascii="仿宋_GB2312" w:hAnsi="仿宋_GB2312" w:eastAsia="仿宋_GB2312" w:cs="仿宋_GB2312"/>
                      <w:b w:val="0"/>
                      <w:bCs w:val="0"/>
                      <w:color w:val="auto"/>
                      <w:sz w:val="24"/>
                      <w:szCs w:val="24"/>
                      <w:highlight w:val="none"/>
                      <w:lang w:bidi="ar"/>
                    </w:rPr>
                    <w:t>分，最高得</w:t>
                  </w:r>
                  <w:r>
                    <w:rPr>
                      <w:rFonts w:hint="eastAsia" w:ascii="仿宋_GB2312" w:hAnsi="仿宋_GB2312" w:eastAsia="仿宋_GB2312" w:cs="仿宋_GB2312"/>
                      <w:b w:val="0"/>
                      <w:bCs w:val="0"/>
                      <w:color w:val="auto"/>
                      <w:sz w:val="24"/>
                      <w:szCs w:val="24"/>
                      <w:highlight w:val="none"/>
                      <w:lang w:val="en-US" w:eastAsia="zh-CN" w:bidi="ar"/>
                    </w:rPr>
                    <w:t>10</w:t>
                  </w:r>
                  <w:r>
                    <w:rPr>
                      <w:rFonts w:hint="eastAsia" w:ascii="仿宋_GB2312" w:hAnsi="仿宋_GB2312" w:eastAsia="仿宋_GB2312" w:cs="仿宋_GB2312"/>
                      <w:b w:val="0"/>
                      <w:bCs w:val="0"/>
                      <w:color w:val="auto"/>
                      <w:sz w:val="24"/>
                      <w:szCs w:val="24"/>
                      <w:highlight w:val="none"/>
                      <w:lang w:bidi="ar"/>
                    </w:rPr>
                    <w:t>分</w:t>
                  </w:r>
                  <w:r>
                    <w:rPr>
                      <w:rFonts w:hint="eastAsia" w:ascii="仿宋_GB2312" w:hAnsi="仿宋_GB2312" w:eastAsia="仿宋_GB2312" w:cs="仿宋_GB2312"/>
                      <w:b w:val="0"/>
                      <w:bCs w:val="0"/>
                      <w:color w:val="auto"/>
                      <w:sz w:val="24"/>
                      <w:szCs w:val="24"/>
                      <w:highlight w:val="none"/>
                      <w:lang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auto"/>
                  </w:pPr>
                  <w:r>
                    <w:rPr>
                      <w:rFonts w:hint="eastAsia" w:ascii="仿宋_GB2312" w:hAnsi="仿宋_GB2312" w:eastAsia="仿宋_GB2312" w:cs="仿宋_GB2312"/>
                      <w:color w:val="auto"/>
                      <w:kern w:val="2"/>
                      <w:sz w:val="24"/>
                      <w:szCs w:val="24"/>
                      <w:highlight w:val="none"/>
                      <w:lang w:val="en-US" w:eastAsia="zh-CN" w:bidi="ar"/>
                    </w:rPr>
                    <w:t>（二）评分依据</w:t>
                  </w:r>
                </w:p>
                <w:p>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auto"/>
                    <w:rPr>
                      <w:rFonts w:hint="eastAsia" w:ascii="仿宋_GB2312" w:hAnsi="仿宋_GB2312" w:eastAsia="仿宋_GB2312" w:cs="仿宋_GB2312"/>
                      <w:color w:val="auto"/>
                      <w:kern w:val="2"/>
                      <w:sz w:val="24"/>
                      <w:szCs w:val="24"/>
                      <w:highlight w:val="none"/>
                      <w:lang w:val="en-US" w:eastAsia="zh-CN" w:bidi="ar"/>
                    </w:rPr>
                  </w:pPr>
                  <w:r>
                    <w:rPr>
                      <w:rFonts w:hint="eastAsia" w:ascii="仿宋_GB2312" w:hAnsi="仿宋_GB2312" w:eastAsia="仿宋_GB2312" w:cs="仿宋_GB2312"/>
                      <w:b w:val="0"/>
                      <w:bCs w:val="0"/>
                      <w:color w:val="auto"/>
                      <w:kern w:val="2"/>
                      <w:sz w:val="24"/>
                      <w:szCs w:val="24"/>
                      <w:highlight w:val="none"/>
                      <w:lang w:val="en-US" w:eastAsia="zh-CN" w:bidi="ar"/>
                    </w:rPr>
                    <w:t>1</w:t>
                  </w:r>
                  <w:r>
                    <w:rPr>
                      <w:rFonts w:hint="eastAsia" w:ascii="仿宋_GB2312" w:hAnsi="仿宋_GB2312" w:eastAsia="仿宋_GB2312" w:cs="仿宋_GB2312"/>
                      <w:color w:val="auto"/>
                      <w:kern w:val="2"/>
                      <w:sz w:val="24"/>
                      <w:szCs w:val="24"/>
                      <w:highlight w:val="none"/>
                      <w:lang w:val="en-US" w:eastAsia="zh-CN" w:bidi="ar"/>
                    </w:rPr>
                    <w:t>.须提供合同关键信息页复印件，需清晰体现项目名称、项目内容、合同甲乙双方、签订时间等关键信息。评分中出现无证明资料或专家无法凭所提供资料判断是否得分的情况，</w:t>
                  </w:r>
                  <w:r>
                    <w:rPr>
                      <w:rFonts w:hint="eastAsia" w:ascii="仿宋_GB2312" w:hAnsi="仿宋_GB2312" w:eastAsia="仿宋_GB2312" w:cs="仿宋_GB2312"/>
                      <w:b w:val="0"/>
                      <w:bCs w:val="0"/>
                      <w:color w:val="auto"/>
                      <w:kern w:val="2"/>
                      <w:sz w:val="24"/>
                      <w:szCs w:val="24"/>
                      <w:highlight w:val="none"/>
                      <w:lang w:val="en-US" w:eastAsia="zh-CN" w:bidi="ar"/>
                    </w:rPr>
                    <w:t>不得分</w:t>
                  </w:r>
                  <w:r>
                    <w:rPr>
                      <w:rFonts w:hint="eastAsia" w:ascii="仿宋_GB2312" w:hAnsi="仿宋_GB2312" w:eastAsia="仿宋_GB2312" w:cs="仿宋_GB2312"/>
                      <w:color w:val="auto"/>
                      <w:kern w:val="2"/>
                      <w:sz w:val="24"/>
                      <w:szCs w:val="24"/>
                      <w:highlight w:val="none"/>
                      <w:lang w:val="en-US" w:eastAsia="zh-CN" w:bidi="ar"/>
                    </w:rPr>
                    <w:t>。</w:t>
                  </w:r>
                </w:p>
                <w:p>
                  <w:pPr>
                    <w:ind w:firstLineChars="0"/>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b w:val="0"/>
                      <w:bCs w:val="0"/>
                      <w:color w:val="auto"/>
                      <w:kern w:val="2"/>
                      <w:sz w:val="24"/>
                      <w:szCs w:val="24"/>
                      <w:highlight w:val="none"/>
                      <w:lang w:val="en-US" w:eastAsia="zh-CN" w:bidi="ar"/>
                    </w:rPr>
                    <w:t>2</w:t>
                  </w:r>
                  <w:r>
                    <w:rPr>
                      <w:rFonts w:hint="eastAsia" w:ascii="仿宋_GB2312" w:hAnsi="仿宋_GB2312" w:eastAsia="仿宋_GB2312" w:cs="仿宋_GB2312"/>
                      <w:color w:val="auto"/>
                      <w:kern w:val="2"/>
                      <w:sz w:val="24"/>
                      <w:szCs w:val="24"/>
                      <w:highlight w:val="none"/>
                      <w:lang w:val="en-US" w:eastAsia="zh-CN" w:bidi="ar"/>
                    </w:rPr>
                    <w:t>.</w:t>
                  </w:r>
                  <w:r>
                    <w:rPr>
                      <w:rFonts w:hint="eastAsia" w:ascii="仿宋_GB2312" w:hAnsi="仿宋_GB2312" w:eastAsia="仿宋_GB2312" w:cs="仿宋_GB2312"/>
                      <w:color w:val="auto"/>
                      <w:kern w:val="2"/>
                      <w:sz w:val="24"/>
                      <w:szCs w:val="24"/>
                      <w:highlight w:val="none"/>
                      <w:lang w:bidi="ar"/>
                    </w:rPr>
                    <w:t>未提供证明材料、材料信息不全、无法核实项目真实性及匹配度的，不</w:t>
                  </w:r>
                  <w:r>
                    <w:rPr>
                      <w:rFonts w:hint="eastAsia" w:ascii="仿宋_GB2312" w:hAnsi="仿宋_GB2312" w:eastAsia="仿宋_GB2312" w:cs="仿宋_GB2312"/>
                      <w:b w:val="0"/>
                      <w:bCs w:val="0"/>
                      <w:color w:val="auto"/>
                      <w:kern w:val="2"/>
                      <w:sz w:val="24"/>
                      <w:szCs w:val="24"/>
                      <w:highlight w:val="none"/>
                      <w:lang w:eastAsia="zh-CN" w:bidi="ar"/>
                    </w:rPr>
                    <w:t>得分</w:t>
                  </w:r>
                  <w:r>
                    <w:rPr>
                      <w:rFonts w:hint="eastAsia" w:ascii="仿宋_GB2312" w:hAnsi="仿宋_GB2312" w:eastAsia="仿宋_GB2312" w:cs="仿宋_GB2312"/>
                      <w:color w:val="auto"/>
                      <w:kern w:val="2"/>
                      <w:sz w:val="24"/>
                      <w:szCs w:val="24"/>
                      <w:highlight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9"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both"/>
                    <w:textAlignment w:val="auto"/>
                    <w:rPr>
                      <w:rFonts w:hint="default"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2</w:t>
                  </w:r>
                </w:p>
              </w:tc>
              <w:tc>
                <w:tcPr>
                  <w:tcW w:w="1379" w:type="dxa"/>
                  <w:noWrap w:val="0"/>
                  <w:vAlign w:val="center"/>
                </w:tcPr>
                <w:p>
                  <w:pPr>
                    <w:keepNext w:val="0"/>
                    <w:keepLines w:val="0"/>
                    <w:widowControl/>
                    <w:suppressLineNumbers w:val="0"/>
                    <w:spacing w:line="240" w:lineRule="auto"/>
                    <w:jc w:val="center"/>
                    <w:textAlignment w:val="auto"/>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kern w:val="2"/>
                      <w:sz w:val="24"/>
                      <w:szCs w:val="24"/>
                      <w:highlight w:val="none"/>
                      <w:u w:val="none"/>
                      <w:lang w:val="en-US" w:eastAsia="zh-CN"/>
                    </w:rPr>
                    <w:t>拟安排的项目负责人情况（仅限一人）</w:t>
                  </w:r>
                </w:p>
              </w:tc>
              <w:tc>
                <w:tcPr>
                  <w:tcW w:w="506" w:type="dxa"/>
                  <w:noWrap w:val="0"/>
                  <w:vAlign w:val="center"/>
                </w:tcPr>
                <w:p>
                  <w:pPr>
                    <w:keepNext w:val="0"/>
                    <w:keepLines w:val="0"/>
                    <w:widowControl/>
                    <w:suppressLineNumbers w:val="0"/>
                    <w:spacing w:line="240" w:lineRule="auto"/>
                    <w:jc w:val="center"/>
                    <w:textAlignment w:val="auto"/>
                    <w:rPr>
                      <w:rFonts w:hint="default"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kern w:val="2"/>
                      <w:sz w:val="24"/>
                      <w:szCs w:val="24"/>
                      <w:highlight w:val="none"/>
                      <w:u w:val="none"/>
                      <w:lang w:val="en-US" w:eastAsia="zh-CN"/>
                    </w:rPr>
                    <w:t>6</w:t>
                  </w:r>
                </w:p>
              </w:tc>
              <w:tc>
                <w:tcPr>
                  <w:tcW w:w="713"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b w:val="0"/>
                      <w:bCs w:val="0"/>
                      <w:color w:val="auto"/>
                      <w:kern w:val="2"/>
                      <w:sz w:val="24"/>
                      <w:szCs w:val="24"/>
                      <w:highlight w:val="none"/>
                      <w:lang w:val="en-US" w:eastAsia="zh-CN" w:bidi="ar-SA"/>
                    </w:rPr>
                  </w:pPr>
                </w:p>
              </w:tc>
              <w:tc>
                <w:tcPr>
                  <w:tcW w:w="6490" w:type="dxa"/>
                  <w:noWrap w:val="0"/>
                  <w:vAlign w:val="top"/>
                </w:tcPr>
                <w:p>
                  <w:pPr>
                    <w:tabs>
                      <w:tab w:val="center" w:pos="4153"/>
                      <w:tab w:val="right" w:pos="8306"/>
                    </w:tabs>
                    <w:rPr>
                      <w:rFonts w:hint="eastAsia" w:ascii="仿宋_GB2312" w:hAnsi="仿宋_GB2312" w:eastAsia="仿宋_GB2312" w:cs="仿宋_GB2312"/>
                      <w:b w:val="0"/>
                      <w:bCs w:val="0"/>
                      <w:color w:val="auto"/>
                      <w:kern w:val="2"/>
                      <w:sz w:val="24"/>
                      <w:szCs w:val="24"/>
                      <w:highlight w:val="none"/>
                      <w:lang w:val="en-US" w:eastAsia="zh-CN" w:bidi="ar"/>
                    </w:rPr>
                  </w:pPr>
                  <w:r>
                    <w:rPr>
                      <w:rFonts w:hint="eastAsia" w:ascii="仿宋_GB2312" w:hAnsi="仿宋_GB2312" w:eastAsia="仿宋_GB2312" w:cs="仿宋_GB2312"/>
                      <w:b w:val="0"/>
                      <w:bCs w:val="0"/>
                      <w:color w:val="auto"/>
                      <w:kern w:val="2"/>
                      <w:sz w:val="24"/>
                      <w:szCs w:val="24"/>
                      <w:highlight w:val="none"/>
                      <w:lang w:val="en-US" w:eastAsia="zh-CN" w:bidi="ar"/>
                    </w:rPr>
                    <w:t>（一）评分内容</w:t>
                  </w:r>
                </w:p>
                <w:p>
                  <w:pPr>
                    <w:tabs>
                      <w:tab w:val="center" w:pos="4153"/>
                      <w:tab w:val="right" w:pos="8306"/>
                    </w:tabs>
                    <w:rPr>
                      <w:rFonts w:hint="eastAsia" w:ascii="仿宋_GB2312" w:hAnsi="仿宋_GB2312" w:eastAsia="仿宋_GB2312" w:cs="仿宋_GB2312"/>
                      <w:b w:val="0"/>
                      <w:bCs w:val="0"/>
                      <w:color w:val="auto"/>
                      <w:kern w:val="2"/>
                      <w:sz w:val="24"/>
                      <w:szCs w:val="24"/>
                      <w:highlight w:val="none"/>
                      <w:lang w:val="en-US" w:eastAsia="zh-CN" w:bidi="ar"/>
                    </w:rPr>
                  </w:pPr>
                  <w:r>
                    <w:rPr>
                      <w:rFonts w:hint="eastAsia" w:ascii="仿宋_GB2312" w:hAnsi="仿宋_GB2312" w:eastAsia="仿宋_GB2312" w:cs="仿宋_GB2312"/>
                      <w:i w:val="0"/>
                      <w:iCs w:val="0"/>
                      <w:color w:val="auto"/>
                      <w:kern w:val="2"/>
                      <w:sz w:val="24"/>
                      <w:szCs w:val="24"/>
                      <w:highlight w:val="none"/>
                      <w:u w:val="none"/>
                      <w:lang w:val="en-US" w:eastAsia="zh-CN"/>
                    </w:rPr>
                    <w:t>拟安排的项目负责人情况</w:t>
                  </w:r>
                </w:p>
                <w:p>
                  <w:pPr>
                    <w:tabs>
                      <w:tab w:val="center" w:pos="4153"/>
                      <w:tab w:val="right" w:pos="8306"/>
                    </w:tabs>
                    <w:rPr>
                      <w:rFonts w:hint="eastAsia" w:ascii="仿宋_GB2312" w:hAnsi="仿宋_GB2312" w:eastAsia="仿宋_GB2312" w:cs="仿宋_GB2312"/>
                      <w:b w:val="0"/>
                      <w:bCs w:val="0"/>
                      <w:color w:val="auto"/>
                      <w:kern w:val="2"/>
                      <w:sz w:val="24"/>
                      <w:szCs w:val="24"/>
                      <w:highlight w:val="none"/>
                      <w:lang w:val="en-US" w:eastAsia="zh-CN" w:bidi="ar"/>
                    </w:rPr>
                  </w:pPr>
                  <w:r>
                    <w:rPr>
                      <w:rFonts w:hint="eastAsia" w:ascii="仿宋_GB2312" w:hAnsi="仿宋_GB2312" w:eastAsia="仿宋_GB2312" w:cs="仿宋_GB2312"/>
                      <w:b w:val="0"/>
                      <w:bCs w:val="0"/>
                      <w:color w:val="auto"/>
                      <w:kern w:val="2"/>
                      <w:sz w:val="24"/>
                      <w:szCs w:val="24"/>
                      <w:highlight w:val="none"/>
                      <w:lang w:val="en-US" w:eastAsia="zh-CN" w:bidi="ar"/>
                    </w:rPr>
                    <w:t>1.</w:t>
                  </w:r>
                  <w:r>
                    <w:rPr>
                      <w:rFonts w:hint="eastAsia" w:ascii="仿宋_GB2312" w:hAnsi="仿宋_GB2312" w:eastAsia="仿宋_GB2312" w:cs="仿宋_GB2312"/>
                      <w:color w:val="auto"/>
                      <w:sz w:val="24"/>
                      <w:szCs w:val="24"/>
                      <w:highlight w:val="none"/>
                      <w:lang w:bidi="ar"/>
                    </w:rPr>
                    <w:t>具有专科</w:t>
                  </w:r>
                  <w:r>
                    <w:rPr>
                      <w:rFonts w:hint="eastAsia" w:ascii="仿宋_GB2312" w:hAnsi="仿宋_GB2312" w:eastAsia="仿宋_GB2312" w:cs="仿宋_GB2312"/>
                      <w:color w:val="auto"/>
                      <w:sz w:val="24"/>
                      <w:szCs w:val="24"/>
                      <w:highlight w:val="none"/>
                      <w:lang w:eastAsia="zh-CN" w:bidi="ar"/>
                    </w:rPr>
                    <w:t>及以上</w:t>
                  </w:r>
                  <w:r>
                    <w:rPr>
                      <w:rFonts w:hint="eastAsia" w:ascii="仿宋_GB2312" w:hAnsi="仿宋_GB2312" w:eastAsia="仿宋_GB2312" w:cs="仿宋_GB2312"/>
                      <w:color w:val="auto"/>
                      <w:sz w:val="24"/>
                      <w:szCs w:val="24"/>
                      <w:highlight w:val="none"/>
                      <w:lang w:bidi="ar"/>
                    </w:rPr>
                    <w:t>学历且为机电相关专业的得</w:t>
                  </w:r>
                  <w:r>
                    <w:rPr>
                      <w:rFonts w:hint="eastAsia" w:ascii="仿宋_GB2312" w:hAnsi="仿宋_GB2312" w:eastAsia="仿宋_GB2312" w:cs="仿宋_GB2312"/>
                      <w:color w:val="auto"/>
                      <w:kern w:val="2"/>
                      <w:sz w:val="24"/>
                      <w:szCs w:val="24"/>
                      <w:highlight w:val="none"/>
                      <w:lang w:val="en-US" w:eastAsia="zh-CN" w:bidi="ar"/>
                    </w:rPr>
                    <w:t>3</w:t>
                  </w:r>
                  <w:r>
                    <w:rPr>
                      <w:rFonts w:hint="eastAsia" w:ascii="仿宋_GB2312" w:hAnsi="仿宋_GB2312" w:eastAsia="仿宋_GB2312" w:cs="仿宋_GB2312"/>
                      <w:color w:val="auto"/>
                      <w:sz w:val="24"/>
                      <w:szCs w:val="24"/>
                      <w:highlight w:val="none"/>
                      <w:lang w:bidi="ar"/>
                    </w:rPr>
                    <w:t>分；</w:t>
                  </w:r>
                </w:p>
                <w:p>
                  <w:pPr>
                    <w:rPr>
                      <w:rFonts w:hint="default" w:ascii="仿宋_GB2312" w:hAnsi="仿宋_GB2312" w:eastAsia="仿宋_GB2312" w:cs="仿宋_GB2312"/>
                      <w:color w:val="auto"/>
                      <w:sz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highlight w:val="none"/>
                      <w:lang w:bidi="ar"/>
                    </w:rPr>
                    <w:t>具有机电或电气相关专业中级（或以上）工程师职称证书得</w:t>
                  </w:r>
                  <w:r>
                    <w:rPr>
                      <w:rFonts w:hint="eastAsia" w:ascii="仿宋_GB2312" w:hAnsi="仿宋_GB2312" w:eastAsia="仿宋_GB2312" w:cs="仿宋_GB2312"/>
                      <w:color w:val="auto"/>
                      <w:sz w:val="24"/>
                      <w:highlight w:val="none"/>
                      <w:lang w:val="en-US" w:eastAsia="zh-CN" w:bidi="ar"/>
                    </w:rPr>
                    <w:t>3</w:t>
                  </w:r>
                  <w:r>
                    <w:rPr>
                      <w:rFonts w:hint="eastAsia" w:ascii="仿宋_GB2312" w:hAnsi="仿宋_GB2312" w:eastAsia="仿宋_GB2312" w:cs="仿宋_GB2312"/>
                      <w:color w:val="auto"/>
                      <w:sz w:val="24"/>
                      <w:highlight w:val="none"/>
                      <w:lang w:bidi="ar"/>
                    </w:rPr>
                    <w:t>分；</w:t>
                  </w:r>
                </w:p>
                <w:p>
                  <w:pPr>
                    <w:tabs>
                      <w:tab w:val="center" w:pos="4153"/>
                      <w:tab w:val="right" w:pos="8306"/>
                    </w:tabs>
                    <w:rPr>
                      <w:rFonts w:hint="eastAsia" w:ascii="仿宋_GB2312" w:hAnsi="仿宋_GB2312" w:eastAsia="仿宋_GB2312" w:cs="仿宋_GB2312"/>
                      <w:b w:val="0"/>
                      <w:bCs w:val="0"/>
                      <w:color w:val="auto"/>
                      <w:kern w:val="2"/>
                      <w:sz w:val="24"/>
                      <w:szCs w:val="24"/>
                      <w:highlight w:val="none"/>
                      <w:lang w:val="en-US" w:eastAsia="zh-CN" w:bidi="ar"/>
                    </w:rPr>
                  </w:pPr>
                  <w:r>
                    <w:rPr>
                      <w:rFonts w:hint="eastAsia" w:ascii="仿宋_GB2312" w:hAnsi="仿宋_GB2312" w:eastAsia="仿宋_GB2312" w:cs="仿宋_GB2312"/>
                      <w:b w:val="0"/>
                      <w:bCs w:val="0"/>
                      <w:color w:val="auto"/>
                      <w:kern w:val="2"/>
                      <w:sz w:val="24"/>
                      <w:szCs w:val="24"/>
                      <w:highlight w:val="none"/>
                      <w:lang w:val="en-US" w:eastAsia="zh-CN" w:bidi="ar"/>
                    </w:rPr>
                    <w:t>（二）评分依据</w:t>
                  </w:r>
                </w:p>
                <w:p>
                  <w:pPr>
                    <w:tabs>
                      <w:tab w:val="center" w:pos="4153"/>
                      <w:tab w:val="right" w:pos="8306"/>
                    </w:tabs>
                    <w:rPr>
                      <w:rFonts w:hint="eastAsia" w:ascii="仿宋_GB2312" w:hAnsi="仿宋_GB2312" w:eastAsia="仿宋_GB2312" w:cs="仿宋_GB2312"/>
                      <w:color w:val="auto"/>
                      <w:sz w:val="24"/>
                      <w:szCs w:val="24"/>
                      <w:highlight w:val="none"/>
                      <w:lang w:bidi="ar"/>
                    </w:rPr>
                  </w:pPr>
                  <w:r>
                    <w:rPr>
                      <w:rFonts w:hint="eastAsia" w:ascii="仿宋_GB2312" w:hAnsi="仿宋_GB2312" w:eastAsia="仿宋_GB2312" w:cs="仿宋_GB2312"/>
                      <w:color w:val="auto"/>
                      <w:sz w:val="24"/>
                      <w:szCs w:val="24"/>
                      <w:highlight w:val="none"/>
                      <w:lang w:bidi="ar"/>
                    </w:rPr>
                    <w:t>1.要求提供成员在投标单位缴纳的近三个月（含开标当月）中的任意一个月的社保证明（投标人为新成立企业且成立时间不足一个月可提供加盖投标人公章的情况说明或者证明材料亦视为符合），如依法不需要缴纳社会保险的，应提供相应文件证明。若因为社保部门或税务部门原因无法提供的，需提供劳动合同及社保部门或税务部门官方通知证明（或官网公告截图）。</w:t>
                  </w:r>
                </w:p>
                <w:p>
                  <w:pPr>
                    <w:tabs>
                      <w:tab w:val="center" w:pos="4153"/>
                      <w:tab w:val="right" w:pos="8306"/>
                    </w:tabs>
                    <w:rPr>
                      <w:rFonts w:hint="eastAsia" w:ascii="仿宋_GB2312" w:hAnsi="仿宋_GB2312" w:eastAsia="仿宋_GB2312" w:cs="仿宋_GB2312"/>
                      <w:color w:val="auto"/>
                      <w:kern w:val="2"/>
                      <w:sz w:val="24"/>
                      <w:szCs w:val="24"/>
                      <w:highlight w:val="none"/>
                      <w:lang w:bidi="ar"/>
                    </w:rPr>
                  </w:pPr>
                  <w:r>
                    <w:rPr>
                      <w:rFonts w:hint="eastAsia" w:ascii="仿宋_GB2312" w:hAnsi="仿宋_GB2312" w:eastAsia="仿宋_GB2312" w:cs="仿宋_GB2312"/>
                      <w:color w:val="auto"/>
                      <w:sz w:val="24"/>
                      <w:szCs w:val="24"/>
                      <w:highlight w:val="none"/>
                      <w:lang w:bidi="ar"/>
                    </w:rPr>
                    <w:t>2.要求投标人提供学历证书（毕业证书）扫描件与学信网查询截图作为得分依据，对于较早颁发的学历证书，学信网无法查询的，要求提供其他佐证材料（如毕业院校、人社部门等颁发机构或监管机构等单位出具的证明）。海外留学人员(含港澳台)学历无法通过学信网站查询，允许提供“教育部留学服务中心出具的国外学历认证证书以及教育部留学服务中心官网查询截图。</w:t>
                  </w:r>
                </w:p>
                <w:p>
                  <w:pPr>
                    <w:tabs>
                      <w:tab w:val="center" w:pos="4153"/>
                      <w:tab w:val="right" w:pos="8306"/>
                    </w:tabs>
                    <w:rPr>
                      <w:rFonts w:hint="eastAsia" w:ascii="仿宋_GB2312" w:hAnsi="仿宋_GB2312" w:eastAsia="仿宋_GB2312" w:cs="仿宋_GB2312"/>
                      <w:color w:val="auto"/>
                      <w:sz w:val="24"/>
                      <w:szCs w:val="24"/>
                      <w:highlight w:val="none"/>
                      <w:lang w:bidi="ar"/>
                    </w:rPr>
                  </w:pPr>
                  <w:r>
                    <w:rPr>
                      <w:rFonts w:hint="eastAsia" w:ascii="仿宋_GB2312" w:hAnsi="仿宋_GB2312" w:eastAsia="仿宋_GB2312" w:cs="仿宋_GB2312"/>
                      <w:color w:val="auto"/>
                      <w:kern w:val="2"/>
                      <w:sz w:val="24"/>
                      <w:szCs w:val="24"/>
                      <w:highlight w:val="none"/>
                      <w:lang w:val="en-US" w:eastAsia="zh-CN" w:bidi="ar"/>
                    </w:rPr>
                    <w:t>3.</w:t>
                  </w:r>
                  <w:r>
                    <w:rPr>
                      <w:rFonts w:hint="eastAsia" w:ascii="仿宋_GB2312" w:hAnsi="仿宋_GB2312" w:eastAsia="仿宋_GB2312" w:cs="仿宋_GB2312"/>
                      <w:color w:val="auto"/>
                      <w:sz w:val="24"/>
                      <w:szCs w:val="24"/>
                      <w:highlight w:val="none"/>
                      <w:lang w:bidi="ar"/>
                    </w:rPr>
                    <w:t>提供证书扫描件，涉及职称证书要求提供证书及全国人力资源和社会保障服务平台官网查询截图（查询网址：http://www.12333.gov.cn），如上述网站无法查询的，则需提供人社部门（或发证部门或职称管理部门或考试部门）出具的证明文件或其他政府网站查询截图，否则不予认可，视为无效证书；涉及职业资格证书（或职业技能等级证书），还需同时提供技能人才评价证书全国联网查询（网址：http://zscx.osta.org.cn）官网查询截图，否则不予认可，视为无效证书。</w:t>
                  </w:r>
                </w:p>
                <w:p>
                  <w:pPr>
                    <w:tabs>
                      <w:tab w:val="center" w:pos="4153"/>
                      <w:tab w:val="right" w:pos="8306"/>
                    </w:tabs>
                    <w:rPr>
                      <w:rFonts w:hint="eastAsia" w:ascii="仿宋_GB2312" w:hAnsi="仿宋_GB2312" w:eastAsia="仿宋_GB2312" w:cs="仿宋_GB2312"/>
                      <w:b w:val="0"/>
                      <w:bCs w:val="0"/>
                      <w:color w:val="auto"/>
                      <w:kern w:val="2"/>
                      <w:sz w:val="24"/>
                      <w:szCs w:val="24"/>
                      <w:highlight w:val="none"/>
                      <w:lang w:val="en-US" w:eastAsia="zh-CN" w:bidi="ar"/>
                    </w:rPr>
                  </w:pPr>
                  <w:r>
                    <w:rPr>
                      <w:rFonts w:hint="eastAsia" w:ascii="仿宋_GB2312" w:hAnsi="仿宋_GB2312" w:eastAsia="仿宋_GB2312" w:cs="仿宋_GB2312"/>
                      <w:color w:val="auto"/>
                      <w:kern w:val="2"/>
                      <w:sz w:val="24"/>
                      <w:szCs w:val="24"/>
                      <w:highlight w:val="none"/>
                      <w:lang w:val="en-US" w:eastAsia="zh-CN" w:bidi="ar"/>
                    </w:rPr>
                    <w:t>4</w:t>
                  </w:r>
                  <w:r>
                    <w:rPr>
                      <w:rFonts w:hint="eastAsia" w:ascii="仿宋_GB2312" w:hAnsi="仿宋_GB2312" w:eastAsia="仿宋_GB2312" w:cs="仿宋_GB2312"/>
                      <w:color w:val="auto"/>
                      <w:sz w:val="24"/>
                      <w:szCs w:val="24"/>
                      <w:highlight w:val="none"/>
                      <w:lang w:bidi="ar"/>
                    </w:rPr>
                    <w:t>.以上资料均要求提供扫描件（或官方网站截图）。评分中出现无证明资料或专家无法凭所提供资料判断是否得分的情况，一律作不得分处理。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both"/>
                    <w:textAlignment w:val="auto"/>
                    <w:rPr>
                      <w:rFonts w:hint="default"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3</w:t>
                  </w:r>
                </w:p>
              </w:tc>
              <w:tc>
                <w:tcPr>
                  <w:tcW w:w="1379"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highlight w:val="none"/>
                    </w:rPr>
                    <w:t>拟安排的项目主要团队成员</w:t>
                  </w:r>
                </w:p>
              </w:tc>
              <w:tc>
                <w:tcPr>
                  <w:tcW w:w="506" w:type="dxa"/>
                  <w:noWrap w:val="0"/>
                  <w:vAlign w:val="center"/>
                </w:tcPr>
                <w:p>
                  <w:pPr>
                    <w:keepNext w:val="0"/>
                    <w:keepLines w:val="0"/>
                    <w:widowControl/>
                    <w:suppressLineNumbers w:val="0"/>
                    <w:jc w:val="center"/>
                    <w:rPr>
                      <w:rFonts w:hint="default"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9</w:t>
                  </w:r>
                </w:p>
              </w:tc>
              <w:tc>
                <w:tcPr>
                  <w:tcW w:w="713" w:type="dxa"/>
                  <w:noWrap w:val="0"/>
                  <w:vAlign w:val="center"/>
                </w:tcPr>
                <w:p>
                  <w:pPr>
                    <w:keepNext w:val="0"/>
                    <w:keepLines w:val="0"/>
                    <w:widowControl/>
                    <w:suppressLineNumbers w:val="0"/>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专家评分</w:t>
                  </w:r>
                </w:p>
              </w:tc>
              <w:tc>
                <w:tcPr>
                  <w:tcW w:w="6490" w:type="dxa"/>
                  <w:noWrap w:val="0"/>
                  <w:vAlign w:val="center"/>
                </w:tcPr>
                <w:p>
                  <w:pPr>
                    <w:keepNext w:val="0"/>
                    <w:keepLines w:val="0"/>
                    <w:pageBreakBefore w:val="0"/>
                    <w:kinsoku/>
                    <w:overflowPunct/>
                    <w:topLinePunct w:val="0"/>
                    <w:bidi w:val="0"/>
                    <w:snapToGrid/>
                    <w:spacing w:line="240" w:lineRule="auto"/>
                    <w:ind w:firstLine="0" w:firstLineChars="0"/>
                    <w:jc w:val="left"/>
                    <w:textAlignment w:val="auto"/>
                    <w:rPr>
                      <w:rFonts w:hint="eastAsia" w:ascii="仿宋_GB2312" w:hAnsi="仿宋_GB2312" w:eastAsia="仿宋_GB2312" w:cs="仿宋_GB2312"/>
                      <w:i w:val="0"/>
                      <w:iCs w:val="0"/>
                      <w:caps w:val="0"/>
                      <w:color w:val="auto"/>
                      <w:spacing w:val="0"/>
                      <w:kern w:val="2"/>
                      <w:sz w:val="24"/>
                      <w:szCs w:val="24"/>
                      <w:highlight w:val="none"/>
                      <w:lang w:val="en-US" w:eastAsia="zh-CN" w:bidi="ar"/>
                    </w:rPr>
                  </w:pPr>
                  <w:r>
                    <w:rPr>
                      <w:rFonts w:hint="eastAsia" w:ascii="仿宋_GB2312" w:hAnsi="仿宋_GB2312" w:eastAsia="仿宋_GB2312" w:cs="仿宋_GB2312"/>
                      <w:color w:val="auto"/>
                      <w:kern w:val="2"/>
                      <w:sz w:val="24"/>
                      <w:szCs w:val="24"/>
                      <w:highlight w:val="none"/>
                      <w:lang w:val="en-US" w:eastAsia="zh-CN" w:bidi="ar"/>
                    </w:rPr>
                    <w:t>（一）评分内容</w:t>
                  </w:r>
                </w:p>
                <w:p>
                  <w:pPr>
                    <w:keepNext w:val="0"/>
                    <w:keepLines w:val="0"/>
                    <w:pageBreakBefore w:val="0"/>
                    <w:kinsoku/>
                    <w:overflowPunct/>
                    <w:topLinePunct w:val="0"/>
                    <w:bidi w:val="0"/>
                    <w:snapToGrid/>
                    <w:spacing w:line="240" w:lineRule="auto"/>
                    <w:ind w:firstLine="0" w:firstLineChars="0"/>
                    <w:jc w:val="left"/>
                    <w:textAlignment w:val="auto"/>
                    <w:rPr>
                      <w:rFonts w:hint="eastAsia" w:ascii="仿宋_GB2312" w:hAnsi="仿宋_GB2312" w:eastAsia="仿宋_GB2312" w:cs="仿宋_GB2312"/>
                      <w:color w:val="auto"/>
                      <w:sz w:val="24"/>
                      <w:szCs w:val="24"/>
                      <w:highlight w:val="none"/>
                      <w:lang w:bidi="ar"/>
                    </w:rPr>
                  </w:pPr>
                  <w:r>
                    <w:rPr>
                      <w:rFonts w:hint="eastAsia" w:ascii="仿宋_GB2312" w:hAnsi="仿宋_GB2312" w:eastAsia="仿宋_GB2312" w:cs="仿宋_GB2312"/>
                      <w:color w:val="auto"/>
                      <w:sz w:val="24"/>
                      <w:szCs w:val="24"/>
                      <w:highlight w:val="none"/>
                      <w:lang w:bidi="ar"/>
                    </w:rPr>
                    <w:t>1.</w:t>
                  </w:r>
                  <w:r>
                    <w:rPr>
                      <w:rFonts w:hint="eastAsia" w:ascii="仿宋_GB2312" w:hAnsi="仿宋_GB2312" w:eastAsia="仿宋_GB2312" w:cs="仿宋_GB2312"/>
                      <w:color w:val="auto"/>
                      <w:sz w:val="24"/>
                      <w:szCs w:val="24"/>
                      <w:highlight w:val="none"/>
                      <w:lang w:eastAsia="zh-CN" w:bidi="ar"/>
                    </w:rPr>
                    <w:t>技术负责人承诺</w:t>
                  </w:r>
                  <w:r>
                    <w:rPr>
                      <w:rFonts w:hint="eastAsia" w:ascii="仿宋_GB2312" w:hAnsi="仿宋_GB2312" w:eastAsia="仿宋_GB2312" w:cs="仿宋_GB2312"/>
                      <w:color w:val="auto"/>
                      <w:sz w:val="24"/>
                      <w:szCs w:val="24"/>
                      <w:highlight w:val="none"/>
                      <w:lang w:bidi="ar"/>
                    </w:rPr>
                    <w:t>具备</w:t>
                  </w:r>
                  <w:r>
                    <w:rPr>
                      <w:rFonts w:hint="eastAsia" w:ascii="仿宋_GB2312" w:hAnsi="仿宋_GB2312" w:eastAsia="仿宋_GB2312" w:cs="仿宋_GB2312"/>
                      <w:color w:val="auto"/>
                      <w:sz w:val="24"/>
                      <w:szCs w:val="24"/>
                      <w:highlight w:val="none"/>
                      <w:lang w:val="en-US" w:eastAsia="zh-CN" w:bidi="ar"/>
                    </w:rPr>
                    <w:t>3</w:t>
                  </w:r>
                  <w:r>
                    <w:rPr>
                      <w:rFonts w:hint="eastAsia" w:ascii="仿宋_GB2312" w:hAnsi="仿宋_GB2312" w:eastAsia="仿宋_GB2312" w:cs="仿宋_GB2312"/>
                      <w:color w:val="auto"/>
                      <w:sz w:val="24"/>
                      <w:szCs w:val="24"/>
                      <w:highlight w:val="none"/>
                      <w:lang w:bidi="ar"/>
                    </w:rPr>
                    <w:t>年及以上</w:t>
                  </w:r>
                  <w:r>
                    <w:rPr>
                      <w:rFonts w:hint="eastAsia" w:ascii="仿宋_GB2312" w:hAnsi="仿宋_GB2312" w:eastAsia="仿宋_GB2312" w:cs="仿宋_GB2312"/>
                      <w:color w:val="auto"/>
                      <w:sz w:val="24"/>
                      <w:highlight w:val="none"/>
                      <w:lang w:bidi="ar"/>
                    </w:rPr>
                    <w:t>空调系统、厨房设施设备、洗衣设备、制冷冰箱、热水供应系统等</w:t>
                  </w:r>
                  <w:r>
                    <w:rPr>
                      <w:rFonts w:hint="eastAsia" w:ascii="仿宋_GB2312" w:hAnsi="仿宋_GB2312" w:eastAsia="仿宋_GB2312" w:cs="仿宋_GB2312"/>
                      <w:color w:val="auto"/>
                      <w:sz w:val="24"/>
                      <w:szCs w:val="24"/>
                      <w:highlight w:val="none"/>
                      <w:lang w:eastAsia="zh-CN" w:bidi="ar"/>
                    </w:rPr>
                    <w:t>项目</w:t>
                  </w:r>
                  <w:r>
                    <w:rPr>
                      <w:rFonts w:hint="eastAsia" w:ascii="仿宋_GB2312" w:hAnsi="仿宋_GB2312" w:eastAsia="仿宋_GB2312" w:cs="仿宋_GB2312"/>
                      <w:color w:val="auto"/>
                      <w:sz w:val="24"/>
                      <w:szCs w:val="24"/>
                      <w:highlight w:val="none"/>
                      <w:lang w:bidi="ar"/>
                    </w:rPr>
                    <w:t>经验，得</w:t>
                  </w:r>
                  <w:r>
                    <w:rPr>
                      <w:rFonts w:hint="eastAsia" w:ascii="仿宋_GB2312" w:hAnsi="仿宋_GB2312" w:eastAsia="仿宋_GB2312" w:cs="仿宋_GB2312"/>
                      <w:color w:val="auto"/>
                      <w:sz w:val="24"/>
                      <w:szCs w:val="24"/>
                      <w:highlight w:val="none"/>
                      <w:lang w:val="en-US" w:eastAsia="zh-CN" w:bidi="ar"/>
                    </w:rPr>
                    <w:t>3</w:t>
                  </w:r>
                  <w:r>
                    <w:rPr>
                      <w:rFonts w:hint="eastAsia" w:ascii="仿宋_GB2312" w:hAnsi="仿宋_GB2312" w:eastAsia="仿宋_GB2312" w:cs="仿宋_GB2312"/>
                      <w:color w:val="auto"/>
                      <w:sz w:val="24"/>
                      <w:szCs w:val="24"/>
                      <w:highlight w:val="none"/>
                      <w:lang w:bidi="ar"/>
                    </w:rPr>
                    <w:t>分；</w:t>
                  </w:r>
                </w:p>
                <w:p>
                  <w:pPr>
                    <w:keepNext w:val="0"/>
                    <w:keepLines w:val="0"/>
                    <w:widowControl/>
                    <w:suppressLineNumbers w:val="0"/>
                    <w:jc w:val="left"/>
                    <w:rPr>
                      <w:rFonts w:hint="eastAsia" w:ascii="仿宋_GB2312" w:hAnsi="仿宋_GB2312" w:eastAsia="仿宋_GB2312" w:cs="仿宋_GB2312"/>
                      <w:color w:val="auto"/>
                      <w:sz w:val="24"/>
                      <w:highlight w:val="none"/>
                      <w:lang w:bidi="ar"/>
                    </w:rPr>
                  </w:pPr>
                  <w:r>
                    <w:rPr>
                      <w:rFonts w:hint="eastAsia" w:ascii="仿宋_GB2312" w:hAnsi="仿宋_GB2312" w:eastAsia="仿宋_GB2312" w:cs="仿宋_GB2312"/>
                      <w:color w:val="auto"/>
                      <w:sz w:val="24"/>
                      <w:szCs w:val="24"/>
                      <w:highlight w:val="none"/>
                      <w:lang w:val="en-US" w:eastAsia="zh-CN" w:bidi="ar"/>
                    </w:rPr>
                    <w:t>2.</w:t>
                  </w:r>
                  <w:r>
                    <w:rPr>
                      <w:rFonts w:hint="eastAsia" w:ascii="仿宋_GB2312" w:hAnsi="仿宋_GB2312" w:eastAsia="仿宋_GB2312" w:cs="仿宋_GB2312"/>
                      <w:color w:val="auto"/>
                      <w:sz w:val="24"/>
                      <w:highlight w:val="none"/>
                      <w:lang w:bidi="ar"/>
                    </w:rPr>
                    <w:t>具有机电或电气或自动化相关专业中级（或以上）工程师职称证书得</w:t>
                  </w:r>
                  <w:r>
                    <w:rPr>
                      <w:rFonts w:hint="eastAsia" w:ascii="仿宋_GB2312" w:hAnsi="仿宋_GB2312" w:eastAsia="仿宋_GB2312" w:cs="仿宋_GB2312"/>
                      <w:color w:val="auto"/>
                      <w:sz w:val="24"/>
                      <w:highlight w:val="none"/>
                      <w:lang w:val="en-US" w:eastAsia="zh-CN" w:bidi="ar"/>
                    </w:rPr>
                    <w:t>3</w:t>
                  </w:r>
                  <w:r>
                    <w:rPr>
                      <w:rFonts w:hint="eastAsia" w:ascii="仿宋_GB2312" w:hAnsi="仿宋_GB2312" w:eastAsia="仿宋_GB2312" w:cs="仿宋_GB2312"/>
                      <w:color w:val="auto"/>
                      <w:sz w:val="24"/>
                      <w:highlight w:val="none"/>
                      <w:lang w:bidi="ar"/>
                    </w:rPr>
                    <w:t>分；</w:t>
                  </w:r>
                </w:p>
                <w:p>
                  <w:pPr>
                    <w:keepNext w:val="0"/>
                    <w:keepLines w:val="0"/>
                    <w:widowControl/>
                    <w:suppressLineNumbers w:val="0"/>
                    <w:jc w:val="left"/>
                    <w:rPr>
                      <w:rFonts w:hint="default" w:ascii="仿宋_GB2312" w:hAnsi="仿宋_GB2312" w:eastAsia="仿宋_GB2312" w:cs="仿宋_GB2312"/>
                      <w:color w:val="auto"/>
                      <w:sz w:val="24"/>
                      <w:highlight w:val="none"/>
                      <w:lang w:val="en-US" w:eastAsia="zh-CN" w:bidi="ar"/>
                    </w:rPr>
                  </w:pPr>
                  <w:r>
                    <w:rPr>
                      <w:rFonts w:hint="eastAsia" w:ascii="仿宋_GB2312" w:hAnsi="仿宋_GB2312" w:eastAsia="仿宋_GB2312" w:cs="仿宋_GB2312"/>
                      <w:color w:val="auto"/>
                      <w:sz w:val="24"/>
                      <w:highlight w:val="none"/>
                      <w:lang w:val="en-US" w:eastAsia="zh-CN" w:bidi="ar"/>
                    </w:rPr>
                    <w:t>3.</w:t>
                  </w:r>
                  <w:r>
                    <w:rPr>
                      <w:rFonts w:hint="eastAsia" w:ascii="仿宋_GB2312" w:hAnsi="仿宋_GB2312" w:eastAsia="仿宋_GB2312" w:cs="仿宋_GB2312"/>
                      <w:color w:val="auto"/>
                      <w:sz w:val="24"/>
                      <w:szCs w:val="24"/>
                      <w:highlight w:val="none"/>
                      <w:lang w:bidi="ar"/>
                    </w:rPr>
                    <w:t>具有专科</w:t>
                  </w:r>
                  <w:r>
                    <w:rPr>
                      <w:rFonts w:hint="eastAsia" w:ascii="仿宋_GB2312" w:hAnsi="仿宋_GB2312" w:eastAsia="仿宋_GB2312" w:cs="仿宋_GB2312"/>
                      <w:color w:val="auto"/>
                      <w:sz w:val="24"/>
                      <w:szCs w:val="24"/>
                      <w:highlight w:val="none"/>
                      <w:lang w:eastAsia="zh-CN" w:bidi="ar"/>
                    </w:rPr>
                    <w:t>及以上</w:t>
                  </w:r>
                  <w:r>
                    <w:rPr>
                      <w:rFonts w:hint="eastAsia" w:ascii="仿宋_GB2312" w:hAnsi="仿宋_GB2312" w:eastAsia="仿宋_GB2312" w:cs="仿宋_GB2312"/>
                      <w:color w:val="auto"/>
                      <w:sz w:val="24"/>
                      <w:szCs w:val="24"/>
                      <w:highlight w:val="none"/>
                      <w:lang w:bidi="ar"/>
                    </w:rPr>
                    <w:t>学历的得</w:t>
                  </w:r>
                  <w:r>
                    <w:rPr>
                      <w:rFonts w:hint="eastAsia" w:ascii="仿宋_GB2312" w:hAnsi="仿宋_GB2312" w:eastAsia="仿宋_GB2312" w:cs="仿宋_GB2312"/>
                      <w:color w:val="auto"/>
                      <w:kern w:val="2"/>
                      <w:sz w:val="24"/>
                      <w:szCs w:val="24"/>
                      <w:highlight w:val="none"/>
                      <w:lang w:val="en-US" w:eastAsia="zh-CN" w:bidi="ar"/>
                    </w:rPr>
                    <w:t>3</w:t>
                  </w:r>
                  <w:r>
                    <w:rPr>
                      <w:rFonts w:hint="eastAsia" w:ascii="仿宋_GB2312" w:hAnsi="仿宋_GB2312" w:eastAsia="仿宋_GB2312" w:cs="仿宋_GB2312"/>
                      <w:color w:val="auto"/>
                      <w:sz w:val="24"/>
                      <w:szCs w:val="24"/>
                      <w:highlight w:val="none"/>
                      <w:lang w:bidi="ar"/>
                    </w:rPr>
                    <w:t>分</w:t>
                  </w:r>
                </w:p>
                <w:p>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kern w:val="2"/>
                      <w:sz w:val="24"/>
                      <w:szCs w:val="24"/>
                      <w:highlight w:val="none"/>
                      <w:lang w:val="en-US" w:eastAsia="zh-CN" w:bidi="ar"/>
                    </w:rPr>
                    <w:t>（二）评分依据</w:t>
                  </w:r>
                </w:p>
                <w:p>
                  <w:pPr>
                    <w:tabs>
                      <w:tab w:val="center" w:pos="4153"/>
                      <w:tab w:val="right" w:pos="8306"/>
                    </w:tabs>
                    <w:rPr>
                      <w:rFonts w:hint="eastAsia" w:ascii="仿宋_GB2312" w:hAnsi="仿宋_GB2312" w:eastAsia="仿宋_GB2312" w:cs="仿宋_GB2312"/>
                      <w:color w:val="auto"/>
                      <w:sz w:val="24"/>
                      <w:szCs w:val="24"/>
                      <w:highlight w:val="none"/>
                      <w:lang w:bidi="ar"/>
                    </w:rPr>
                  </w:pPr>
                  <w:r>
                    <w:rPr>
                      <w:rFonts w:hint="eastAsia" w:ascii="仿宋_GB2312" w:hAnsi="仿宋_GB2312" w:eastAsia="仿宋_GB2312" w:cs="仿宋_GB2312"/>
                      <w:color w:val="auto"/>
                      <w:sz w:val="24"/>
                      <w:szCs w:val="24"/>
                      <w:highlight w:val="none"/>
                      <w:lang w:bidi="ar"/>
                    </w:rPr>
                    <w:t>1.要求提供成员在投标单位缴纳的近三个月（含开标当月）中的任意一个月的社保证明（投标人为新成立企业且成立时间不足一个月可提供加盖投标人公章的情况说明或者证明材料亦视为符合），如依法不需要缴纳社会保险的，应提供相应文件证明。若因为社保部门或税务部门原因无法提供的，需提供劳动合同及社保部门或税务部门官方通知证明（或官网公告截图）。</w:t>
                  </w:r>
                </w:p>
                <w:p>
                  <w:pPr>
                    <w:tabs>
                      <w:tab w:val="center" w:pos="4153"/>
                      <w:tab w:val="right" w:pos="8306"/>
                    </w:tabs>
                    <w:rPr>
                      <w:rFonts w:hint="eastAsia" w:ascii="仿宋_GB2312" w:hAnsi="仿宋_GB2312" w:eastAsia="仿宋_GB2312" w:cs="仿宋_GB2312"/>
                      <w:color w:val="auto"/>
                      <w:kern w:val="2"/>
                      <w:sz w:val="24"/>
                      <w:szCs w:val="24"/>
                      <w:highlight w:val="none"/>
                      <w:lang w:bidi="ar"/>
                    </w:rPr>
                  </w:pPr>
                  <w:r>
                    <w:rPr>
                      <w:rFonts w:hint="eastAsia" w:ascii="仿宋_GB2312" w:hAnsi="仿宋_GB2312" w:eastAsia="仿宋_GB2312" w:cs="仿宋_GB2312"/>
                      <w:color w:val="auto"/>
                      <w:sz w:val="24"/>
                      <w:szCs w:val="24"/>
                      <w:highlight w:val="none"/>
                      <w:lang w:bidi="ar"/>
                    </w:rPr>
                    <w:t>2.要求投标人提供学历证书（毕业证书）扫描件与学信网查询截图作为得分依据，对于较早颁发的学历证书，学信网无法查询的，要求提供其他佐证材料（如毕业院校、人社部门等颁发机构或监管机构等单位出具的证明）。海外留学人员(含港澳台)学历无法通过学信网站查询，允许提供“教育部留学服务中心出具的国外学历认证证书以及教育部留学服务中心官网查询截图。</w:t>
                  </w:r>
                </w:p>
                <w:p>
                  <w:pPr>
                    <w:tabs>
                      <w:tab w:val="center" w:pos="4153"/>
                      <w:tab w:val="right" w:pos="8306"/>
                    </w:tabs>
                    <w:rPr>
                      <w:rFonts w:hint="eastAsia" w:ascii="仿宋_GB2312" w:hAnsi="仿宋_GB2312" w:eastAsia="仿宋_GB2312" w:cs="仿宋_GB2312"/>
                      <w:color w:val="auto"/>
                      <w:sz w:val="24"/>
                      <w:szCs w:val="24"/>
                      <w:highlight w:val="none"/>
                      <w:lang w:bidi="ar"/>
                    </w:rPr>
                  </w:pPr>
                  <w:r>
                    <w:rPr>
                      <w:rFonts w:hint="eastAsia" w:ascii="仿宋_GB2312" w:hAnsi="仿宋_GB2312" w:eastAsia="仿宋_GB2312" w:cs="仿宋_GB2312"/>
                      <w:color w:val="auto"/>
                      <w:kern w:val="2"/>
                      <w:sz w:val="24"/>
                      <w:szCs w:val="24"/>
                      <w:highlight w:val="none"/>
                      <w:lang w:val="en-US" w:eastAsia="zh-CN" w:bidi="ar"/>
                    </w:rPr>
                    <w:t>3.</w:t>
                  </w:r>
                  <w:r>
                    <w:rPr>
                      <w:rFonts w:hint="eastAsia" w:ascii="仿宋_GB2312" w:hAnsi="仿宋_GB2312" w:eastAsia="仿宋_GB2312" w:cs="仿宋_GB2312"/>
                      <w:color w:val="auto"/>
                      <w:sz w:val="24"/>
                      <w:szCs w:val="24"/>
                      <w:highlight w:val="none"/>
                      <w:lang w:bidi="ar"/>
                    </w:rPr>
                    <w:t>提供证书扫描件，涉及职称证书要求提供证书及全国人力资源和社会保障服务平台官网查询截图（查询网址：http://www.12333.gov.cn），如上述网站无法查询的，则需提供人社部门（或发证部门或职称管理部门或考试部门）出具的证明文件或其他政府网站查询截图，否则不予认可，视为无效证书；涉及职业资格证书（或职业技能等级证书），还需同时提供技能人才评价证书全国联网查询（网址：http://zscx.osta.org.cn）官网查询截图，否则不予认可，视为无效证书。</w:t>
                  </w:r>
                </w:p>
                <w:p>
                  <w:pPr>
                    <w:keepNext w:val="0"/>
                    <w:keepLines w:val="0"/>
                    <w:widowControl/>
                    <w:suppressLineNumbers w:val="0"/>
                    <w:jc w:val="left"/>
                    <w:rPr>
                      <w:rFonts w:hint="eastAsia" w:ascii="仿宋_GB2312" w:hAnsi="仿宋_GB2312" w:eastAsia="仿宋_GB2312" w:cs="仿宋_GB2312"/>
                      <w:color w:val="auto"/>
                      <w:kern w:val="2"/>
                      <w:sz w:val="24"/>
                      <w:szCs w:val="24"/>
                      <w:highlight w:val="none"/>
                      <w:lang w:val="en-US" w:eastAsia="zh-CN" w:bidi="ar"/>
                    </w:rPr>
                  </w:pPr>
                  <w:r>
                    <w:rPr>
                      <w:rFonts w:hint="eastAsia" w:ascii="仿宋_GB2312" w:hAnsi="仿宋_GB2312" w:eastAsia="仿宋_GB2312" w:cs="仿宋_GB2312"/>
                      <w:color w:val="auto"/>
                      <w:kern w:val="2"/>
                      <w:sz w:val="24"/>
                      <w:szCs w:val="24"/>
                      <w:highlight w:val="none"/>
                      <w:lang w:val="en-US" w:eastAsia="zh-CN" w:bidi="ar"/>
                    </w:rPr>
                    <w:t>4</w:t>
                  </w:r>
                  <w:r>
                    <w:rPr>
                      <w:rFonts w:hint="eastAsia" w:ascii="仿宋_GB2312" w:hAnsi="仿宋_GB2312" w:eastAsia="仿宋_GB2312" w:cs="仿宋_GB2312"/>
                      <w:color w:val="auto"/>
                      <w:sz w:val="24"/>
                      <w:szCs w:val="24"/>
                      <w:highlight w:val="none"/>
                      <w:lang w:bidi="ar"/>
                    </w:rPr>
                    <w:t>.以上资料均要求提供扫描件（或官方网站截图）。评分中出现无证明资料或专家无法凭所提供资料判断是否得分的情况，一律作不得分处理。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3"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b w:val="0"/>
                      <w:bCs w:val="0"/>
                      <w:color w:val="auto"/>
                      <w:sz w:val="24"/>
                      <w:szCs w:val="24"/>
                      <w:lang w:val="en-US" w:eastAsia="zh-CN"/>
                    </w:rPr>
                  </w:pPr>
                </w:p>
              </w:tc>
              <w:tc>
                <w:tcPr>
                  <w:tcW w:w="1379" w:type="dxa"/>
                  <w:shd w:val="clear" w:color="auto" w:fill="auto"/>
                  <w:noWrap w:val="0"/>
                  <w:vAlign w:val="center"/>
                </w:tcPr>
                <w:p>
                  <w:pPr>
                    <w:spacing w:line="240" w:lineRule="auto"/>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履约评价情况</w:t>
                  </w:r>
                </w:p>
              </w:tc>
              <w:tc>
                <w:tcPr>
                  <w:tcW w:w="506" w:type="dxa"/>
                  <w:shd w:val="clear" w:color="auto" w:fill="auto"/>
                  <w:noWrap w:val="0"/>
                  <w:vAlign w:val="center"/>
                </w:tcPr>
                <w:p>
                  <w:pPr>
                    <w:spacing w:line="240" w:lineRule="auto"/>
                    <w:jc w:val="center"/>
                    <w:rPr>
                      <w:rFonts w:hint="default"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10</w:t>
                  </w:r>
                </w:p>
              </w:tc>
              <w:tc>
                <w:tcPr>
                  <w:tcW w:w="713" w:type="dxa"/>
                  <w:noWrap w:val="0"/>
                  <w:vAlign w:val="center"/>
                </w:tcPr>
                <w:p>
                  <w:pPr>
                    <w:keepNext w:val="0"/>
                    <w:keepLines w:val="0"/>
                    <w:widowControl/>
                    <w:suppressLineNumbers w:val="0"/>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专家评分</w:t>
                  </w:r>
                </w:p>
              </w:tc>
              <w:tc>
                <w:tcPr>
                  <w:tcW w:w="6490" w:type="dxa"/>
                  <w:shd w:val="clear" w:color="auto" w:fill="auto"/>
                  <w:noWrap w:val="0"/>
                  <w:vAlign w:val="top"/>
                </w:tcPr>
                <w:p>
                  <w:pPr>
                    <w:spacing w:line="240" w:lineRule="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（一）评分内容：</w:t>
                  </w:r>
                </w:p>
                <w:p>
                  <w:pPr>
                    <w:spacing w:line="240" w:lineRule="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投标人在上述“同类项目业绩”中，符合评审得分的业绩，能够提供服务单位出具的履约评价相关证明，且评价为优（优或优秀或满意或其他最高等级的表述均可），每提供一份得</w:t>
                  </w: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rPr>
                    <w:t>分，本项最高得</w:t>
                  </w:r>
                  <w:r>
                    <w:rPr>
                      <w:rFonts w:hint="eastAsia" w:ascii="仿宋_GB2312" w:hAnsi="仿宋_GB2312" w:eastAsia="仿宋_GB2312" w:cs="仿宋_GB2312"/>
                      <w:color w:val="auto"/>
                      <w:sz w:val="24"/>
                      <w:szCs w:val="24"/>
                      <w:highlight w:val="none"/>
                      <w:lang w:val="en-US" w:eastAsia="zh-CN"/>
                    </w:rPr>
                    <w:t>10</w:t>
                  </w:r>
                  <w:r>
                    <w:rPr>
                      <w:rFonts w:hint="eastAsia" w:ascii="仿宋_GB2312" w:hAnsi="仿宋_GB2312" w:eastAsia="仿宋_GB2312" w:cs="仿宋_GB2312"/>
                      <w:color w:val="auto"/>
                      <w:sz w:val="24"/>
                      <w:szCs w:val="24"/>
                      <w:highlight w:val="none"/>
                    </w:rPr>
                    <w:t>分。</w:t>
                  </w:r>
                </w:p>
                <w:p>
                  <w:pPr>
                    <w:spacing w:line="240" w:lineRule="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（二）评分依据：</w:t>
                  </w:r>
                </w:p>
                <w:p>
                  <w:pPr>
                    <w:spacing w:line="240" w:lineRule="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投标人提供盖有合同采购方公章（或采购方内设机构业务章）的履约评价扫描件，未提供或未按要求提供或提供的扫描件不清晰导致专家无法判断的，不得分。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both"/>
                    <w:textAlignment w:val="auto"/>
                    <w:rPr>
                      <w:rFonts w:hint="default"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4</w:t>
                  </w:r>
                </w:p>
              </w:tc>
              <w:tc>
                <w:tcPr>
                  <w:tcW w:w="1379" w:type="dxa"/>
                  <w:noWrap w:val="0"/>
                  <w:vAlign w:val="center"/>
                </w:tcPr>
                <w:p>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仿宋_GB2312" w:hAnsi="仿宋_GB2312" w:eastAsia="仿宋_GB2312" w:cs="仿宋_GB2312"/>
                      <w:b w:val="0"/>
                      <w:bCs w:val="0"/>
                      <w:color w:val="auto"/>
                      <w:kern w:val="2"/>
                      <w:sz w:val="24"/>
                      <w:szCs w:val="24"/>
                      <w:lang w:val="en-US" w:eastAsia="zh-CN" w:bidi="ar-SA"/>
                    </w:rPr>
                  </w:pPr>
                  <w:r>
                    <w:rPr>
                      <w:rFonts w:hint="eastAsia" w:ascii="仿宋_GB2312" w:hAnsi="仿宋_GB2312" w:eastAsia="仿宋_GB2312" w:cs="仿宋_GB2312"/>
                      <w:b w:val="0"/>
                      <w:bCs w:val="0"/>
                      <w:kern w:val="0"/>
                      <w:sz w:val="24"/>
                      <w:szCs w:val="24"/>
                      <w:lang w:val="en-US" w:eastAsia="zh-CN" w:bidi="ar"/>
                    </w:rPr>
                    <w:t>诚信情况</w:t>
                  </w:r>
                </w:p>
              </w:tc>
              <w:tc>
                <w:tcPr>
                  <w:tcW w:w="506" w:type="dxa"/>
                  <w:noWrap w:val="0"/>
                  <w:vAlign w:val="center"/>
                </w:tcPr>
                <w:p>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仿宋_GB2312" w:hAnsi="仿宋_GB2312" w:eastAsia="仿宋_GB2312" w:cs="仿宋_GB2312"/>
                      <w:b w:val="0"/>
                      <w:bCs w:val="0"/>
                      <w:color w:val="auto"/>
                      <w:kern w:val="2"/>
                      <w:sz w:val="24"/>
                      <w:szCs w:val="24"/>
                      <w:lang w:val="en-US" w:eastAsia="zh-CN" w:bidi="ar-SA"/>
                    </w:rPr>
                  </w:pPr>
                  <w:r>
                    <w:rPr>
                      <w:rFonts w:hint="eastAsia" w:ascii="仿宋_GB2312" w:hAnsi="仿宋_GB2312" w:eastAsia="仿宋_GB2312" w:cs="仿宋_GB2312"/>
                      <w:b w:val="0"/>
                      <w:bCs w:val="0"/>
                      <w:kern w:val="0"/>
                      <w:sz w:val="24"/>
                      <w:szCs w:val="24"/>
                      <w:lang w:val="en-US" w:eastAsia="zh-CN" w:bidi="ar"/>
                    </w:rPr>
                    <w:t>5</w:t>
                  </w:r>
                </w:p>
              </w:tc>
              <w:tc>
                <w:tcPr>
                  <w:tcW w:w="713" w:type="dxa"/>
                  <w:noWrap w:val="0"/>
                  <w:vAlign w:val="center"/>
                </w:tcPr>
                <w:p>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仿宋_GB2312" w:hAnsi="仿宋_GB2312" w:eastAsia="仿宋_GB2312" w:cs="仿宋_GB2312"/>
                      <w:b w:val="0"/>
                      <w:bCs w:val="0"/>
                      <w:color w:val="auto"/>
                      <w:kern w:val="2"/>
                      <w:sz w:val="24"/>
                      <w:szCs w:val="24"/>
                      <w:lang w:val="en-US" w:eastAsia="zh-CN" w:bidi="ar-SA"/>
                    </w:rPr>
                  </w:pPr>
                  <w:r>
                    <w:rPr>
                      <w:rFonts w:hint="eastAsia" w:ascii="仿宋_GB2312" w:hAnsi="仿宋_GB2312" w:eastAsia="仿宋_GB2312" w:cs="仿宋_GB2312"/>
                      <w:b w:val="0"/>
                      <w:bCs w:val="0"/>
                      <w:kern w:val="0"/>
                      <w:sz w:val="24"/>
                      <w:szCs w:val="24"/>
                      <w:lang w:val="en-US" w:eastAsia="zh-CN" w:bidi="ar"/>
                    </w:rPr>
                    <w:t>专家评分</w:t>
                  </w:r>
                </w:p>
              </w:tc>
              <w:tc>
                <w:tcPr>
                  <w:tcW w:w="6490" w:type="dxa"/>
                  <w:noWrap w:val="0"/>
                  <w:vAlign w:val="top"/>
                </w:tcPr>
                <w:p>
                  <w:pPr>
                    <w:widowControl/>
                    <w:pBdr>
                      <w:top w:val="none" w:color="auto" w:sz="0" w:space="0"/>
                      <w:left w:val="none" w:color="auto" w:sz="0" w:space="0"/>
                      <w:bottom w:val="none" w:color="auto" w:sz="0" w:space="0"/>
                      <w:right w:val="none" w:color="auto" w:sz="0" w:space="0"/>
                    </w:pBdr>
                    <w:spacing w:line="240" w:lineRule="auto"/>
                    <w:jc w:val="left"/>
                    <w:textAlignment w:val="top"/>
                    <w:rPr>
                      <w:rFonts w:hint="eastAsia" w:ascii="仿宋_GB2312" w:hAnsi="仿宋_GB2312" w:eastAsia="仿宋_GB2312" w:cs="仿宋_GB2312"/>
                      <w:b w:val="0"/>
                      <w:bCs w:val="0"/>
                      <w:kern w:val="0"/>
                      <w:sz w:val="24"/>
                      <w:szCs w:val="24"/>
                      <w:highlight w:val="none"/>
                      <w:lang w:bidi="ar"/>
                    </w:rPr>
                  </w:pPr>
                  <w:r>
                    <w:rPr>
                      <w:rFonts w:hint="eastAsia" w:ascii="仿宋_GB2312" w:hAnsi="仿宋_GB2312" w:eastAsia="仿宋_GB2312" w:cs="仿宋_GB2312"/>
                      <w:b w:val="0"/>
                      <w:bCs w:val="0"/>
                      <w:kern w:val="0"/>
                      <w:sz w:val="24"/>
                      <w:szCs w:val="24"/>
                      <w:highlight w:val="none"/>
                      <w:lang w:bidi="ar"/>
                    </w:rPr>
                    <w:t>（一）评分内容</w:t>
                  </w:r>
                </w:p>
                <w:p>
                  <w:pPr>
                    <w:widowControl/>
                    <w:pBdr>
                      <w:top w:val="none" w:color="auto" w:sz="0" w:space="0"/>
                      <w:left w:val="none" w:color="auto" w:sz="0" w:space="0"/>
                      <w:bottom w:val="none" w:color="auto" w:sz="0" w:space="0"/>
                      <w:right w:val="none" w:color="auto" w:sz="0" w:space="0"/>
                    </w:pBdr>
                    <w:spacing w:line="240" w:lineRule="auto"/>
                    <w:jc w:val="left"/>
                    <w:textAlignment w:val="top"/>
                    <w:rPr>
                      <w:rFonts w:hint="eastAsia" w:ascii="仿宋_GB2312" w:hAnsi="仿宋_GB2312" w:eastAsia="仿宋_GB2312" w:cs="仿宋_GB2312"/>
                      <w:b w:val="0"/>
                      <w:bCs w:val="0"/>
                      <w:kern w:val="0"/>
                      <w:sz w:val="24"/>
                      <w:szCs w:val="24"/>
                      <w:highlight w:val="none"/>
                      <w:lang w:bidi="ar"/>
                    </w:rPr>
                  </w:pPr>
                  <w:r>
                    <w:rPr>
                      <w:rFonts w:hint="eastAsia" w:ascii="仿宋_GB2312" w:hAnsi="仿宋_GB2312" w:eastAsia="仿宋_GB2312" w:cs="仿宋_GB2312"/>
                      <w:b w:val="0"/>
                      <w:bCs w:val="0"/>
                      <w:kern w:val="0"/>
                      <w:sz w:val="24"/>
                      <w:szCs w:val="24"/>
                      <w:highlight w:val="none"/>
                      <w:lang w:bidi="ar"/>
                    </w:rPr>
                    <w:t>投标人存在《深圳市财政局政府采购供应商信用信息管理办法》（深财规〔2023〕3号）列明的一般行政处罚信息、一般违法失信记录信息的，本项不得分，不存在上述情形的本项得</w:t>
                  </w:r>
                  <w:r>
                    <w:rPr>
                      <w:rFonts w:hint="eastAsia" w:ascii="仿宋_GB2312" w:hAnsi="仿宋_GB2312" w:eastAsia="仿宋_GB2312" w:cs="仿宋_GB2312"/>
                      <w:b w:val="0"/>
                      <w:bCs w:val="0"/>
                      <w:kern w:val="0"/>
                      <w:sz w:val="24"/>
                      <w:szCs w:val="24"/>
                      <w:highlight w:val="none"/>
                      <w:lang w:val="en-US" w:eastAsia="zh-CN" w:bidi="ar"/>
                    </w:rPr>
                    <w:t>5</w:t>
                  </w:r>
                  <w:r>
                    <w:rPr>
                      <w:rFonts w:hint="eastAsia" w:ascii="仿宋_GB2312" w:hAnsi="仿宋_GB2312" w:eastAsia="仿宋_GB2312" w:cs="仿宋_GB2312"/>
                      <w:b w:val="0"/>
                      <w:bCs w:val="0"/>
                      <w:kern w:val="0"/>
                      <w:sz w:val="24"/>
                      <w:szCs w:val="24"/>
                      <w:highlight w:val="none"/>
                      <w:lang w:bidi="ar"/>
                    </w:rPr>
                    <w:t>分。投标人无需提供任何证明材料，评标过程中由工作人员向评审委员会提供供应商诚信查询结果。</w:t>
                  </w:r>
                </w:p>
                <w:p>
                  <w:pPr>
                    <w:widowControl/>
                    <w:pBdr>
                      <w:top w:val="none" w:color="auto" w:sz="0" w:space="0"/>
                      <w:left w:val="none" w:color="auto" w:sz="0" w:space="0"/>
                      <w:bottom w:val="none" w:color="auto" w:sz="0" w:space="0"/>
                      <w:right w:val="none" w:color="auto" w:sz="0" w:space="0"/>
                    </w:pBdr>
                    <w:spacing w:line="240" w:lineRule="auto"/>
                    <w:jc w:val="left"/>
                    <w:textAlignment w:val="top"/>
                    <w:rPr>
                      <w:rFonts w:hint="eastAsia" w:ascii="仿宋_GB2312" w:hAnsi="仿宋_GB2312" w:eastAsia="仿宋_GB2312" w:cs="仿宋_GB2312"/>
                      <w:b w:val="0"/>
                      <w:bCs w:val="0"/>
                      <w:kern w:val="0"/>
                      <w:sz w:val="24"/>
                      <w:szCs w:val="24"/>
                      <w:highlight w:val="none"/>
                      <w:lang w:bidi="ar"/>
                    </w:rPr>
                  </w:pPr>
                  <w:r>
                    <w:rPr>
                      <w:rFonts w:hint="eastAsia" w:ascii="仿宋_GB2312" w:hAnsi="仿宋_GB2312" w:eastAsia="仿宋_GB2312" w:cs="仿宋_GB2312"/>
                      <w:b w:val="0"/>
                      <w:bCs w:val="0"/>
                      <w:kern w:val="0"/>
                      <w:sz w:val="24"/>
                      <w:szCs w:val="24"/>
                      <w:highlight w:val="none"/>
                      <w:lang w:bidi="ar"/>
                    </w:rPr>
                    <w:t>（二）评分依据</w:t>
                  </w:r>
                </w:p>
                <w:p>
                  <w:pPr>
                    <w:widowControl/>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0"/>
                      <w:sz w:val="24"/>
                      <w:szCs w:val="24"/>
                      <w:highlight w:val="none"/>
                      <w:lang w:bidi="ar"/>
                    </w:rPr>
                    <w:t>查询渠道：通过“信用中国”（www.creditchina.gov.cn）、“中国政府采购网”（www.ccgp.gov.cn）、“深圳市政府采购监管网”（http://zfcg.sz.gov.cn）以及财政主管部门认定的其他渠道查询供应商信用信息，信用信息以开标当日的查询结果为准。</w:t>
                  </w:r>
                </w:p>
              </w:tc>
            </w:tr>
          </w:tbl>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textAlignment w:val="auto"/>
              <w:rPr>
                <w:rFonts w:hint="eastAsia" w:ascii="仿宋_GB2312" w:hAnsi="仿宋_GB2312" w:eastAsia="仿宋_GB2312" w:cs="仿宋_GB2312"/>
                <w:b/>
                <w:color w:val="auto"/>
                <w:sz w:val="21"/>
                <w:szCs w:val="21"/>
                <w:highlight w:val="none"/>
                <w:shd w:val="clear" w:color="auto" w:fill="auto"/>
              </w:rPr>
            </w:pPr>
          </w:p>
        </w:tc>
      </w:tr>
    </w:tbl>
    <w:p>
      <w:pPr>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shd w:val="clear" w:color="auto" w:fill="auto"/>
        </w:rPr>
        <w:t>注：</w:t>
      </w:r>
    </w:p>
    <w:p>
      <w:pPr>
        <w:ind w:firstLine="420" w:firstLineChars="200"/>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shd w:val="clear" w:color="auto" w:fill="auto"/>
        </w:rPr>
        <w:t>1.每一项的得分均不能超过该项最高分值。</w:t>
      </w:r>
    </w:p>
    <w:p>
      <w:pPr>
        <w:ind w:firstLine="420" w:firstLineChars="200"/>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shd w:val="clear" w:color="auto" w:fill="auto"/>
        </w:rPr>
        <w:t>2.缺项则该项为0分或不合格为0分。</w:t>
      </w:r>
    </w:p>
    <w:p>
      <w:pPr>
        <w:ind w:firstLine="420" w:firstLineChars="200"/>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shd w:val="clear" w:color="auto" w:fill="auto"/>
        </w:rPr>
        <w:t>3.价格部分、技术部分、商务部分为针对项目具体情况设置项目，累加满分为100分。</w:t>
      </w:r>
    </w:p>
    <w:p>
      <w:pPr>
        <w:rPr>
          <w:rFonts w:hint="eastAsia" w:eastAsia="宋体"/>
          <w:lang w:val="en-US" w:eastAsia="zh-CN"/>
        </w:rPr>
      </w:pPr>
    </w:p>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AD7C49"/>
    <w:rsid w:val="3DAD7C49"/>
    <w:rsid w:val="3EA7228C"/>
    <w:rsid w:val="3FA78931"/>
    <w:rsid w:val="3FBFA371"/>
    <w:rsid w:val="57523C04"/>
    <w:rsid w:val="5D7E611C"/>
    <w:rsid w:val="7AF7F7A1"/>
    <w:rsid w:val="7BBFFD8B"/>
    <w:rsid w:val="ABFB7EC0"/>
    <w:rsid w:val="BDDB8D45"/>
    <w:rsid w:val="CD7EAFA2"/>
    <w:rsid w:val="E4B7D99D"/>
    <w:rsid w:val="E7DF0BD0"/>
    <w:rsid w:val="F2A7FB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420" w:firstLineChars="200"/>
    </w:pPr>
    <w:rPr>
      <w:szCs w:val="21"/>
    </w:rPr>
  </w:style>
  <w:style w:type="paragraph" w:styleId="3">
    <w:name w:val="footer"/>
    <w:basedOn w:val="1"/>
    <w:unhideWhenUsed/>
    <w:qFormat/>
    <w:uiPriority w:val="0"/>
    <w:pPr>
      <w:tabs>
        <w:tab w:val="center" w:pos="4153"/>
        <w:tab w:val="right" w:pos="8306"/>
      </w:tabs>
      <w:snapToGrid w:val="0"/>
      <w:jc w:val="left"/>
    </w:pPr>
    <w:rPr>
      <w:sz w:val="18"/>
      <w:szCs w:val="18"/>
    </w:rPr>
  </w:style>
  <w:style w:type="paragraph" w:styleId="4">
    <w:name w:val="annotation text"/>
    <w:basedOn w:val="1"/>
    <w:qFormat/>
    <w:uiPriority w:val="0"/>
    <w:pPr>
      <w:jc w:val="left"/>
    </w:pPr>
  </w:style>
  <w:style w:type="paragraph" w:styleId="5">
    <w:name w:val="Body Text"/>
    <w:basedOn w:val="1"/>
    <w:next w:val="6"/>
    <w:qFormat/>
    <w:uiPriority w:val="0"/>
    <w:pPr>
      <w:spacing w:after="120"/>
    </w:pPr>
  </w:style>
  <w:style w:type="paragraph" w:styleId="6">
    <w:name w:val="Body Text 2"/>
    <w:basedOn w:val="1"/>
    <w:qFormat/>
    <w:uiPriority w:val="0"/>
    <w:pPr>
      <w:spacing w:after="120" w:line="480" w:lineRule="auto"/>
    </w:pPr>
  </w:style>
  <w:style w:type="paragraph" w:styleId="7">
    <w:name w:val="Normal (Web)"/>
    <w:basedOn w:val="1"/>
    <w:qFormat/>
    <w:uiPriority w:val="0"/>
    <w:pPr>
      <w:widowControl/>
      <w:spacing w:before="100" w:beforeAutospacing="1" w:after="100" w:afterAutospacing="1"/>
      <w:jc w:val="left"/>
    </w:pPr>
    <w:rPr>
      <w:kern w:val="0"/>
      <w:sz w:val="24"/>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33</TotalTime>
  <ScaleCrop>false</ScaleCrop>
  <LinksUpToDate>false</LinksUpToDate>
  <CharactersWithSpaces>0</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2026-09-12T05:42:00Z</dcterms:created>
  <dc:creator>审核</dc:creator>
  <cp:lastModifiedBy>鄭錦婷</cp:lastModifiedBy>
  <dcterms:modified xsi:type="dcterms:W3CDTF">2026-10-19T10:06:11Z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B98D69300E6A2168137BD56A3446A947</vt:lpwstr>
  </property>
  <property fmtid="{D5CDD505-2E9C-101B-9397-08002B2CF9AE}" pid="4" name="KSOTemplateDocerSaveRecord">
    <vt:lpwstr>eyJoZGlkIjoiMTg5OTJlOTg2YzhmNDg5ZjdhZDJkNjBkMmU0N2RkZjIiLCJ1c2VySWQiOiIyOTk3ODExMzMifQ==</vt:lpwstr>
  </property>
</Properties>
</file>