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黑体_GBK" w:hAnsi="方正黑体_GBK" w:eastAsia="方正黑体_GBK" w:cs="方正黑体_GBK"/>
          <w:kern w:val="0"/>
          <w:sz w:val="32"/>
          <w:szCs w:val="32"/>
          <w:lang w:val="en-US" w:eastAsia="zh-CN"/>
        </w:rPr>
      </w:pPr>
      <w:r>
        <w:rPr>
          <w:rFonts w:hint="eastAsia" w:ascii="方正黑体_GBK" w:hAnsi="方正黑体_GBK" w:eastAsia="方正黑体_GBK" w:cs="方正黑体_GBK"/>
          <w:kern w:val="0"/>
          <w:sz w:val="32"/>
          <w:szCs w:val="32"/>
          <w:lang w:val="en-US" w:eastAsia="zh-CN"/>
        </w:rPr>
        <w:t>附件1</w:t>
      </w:r>
    </w:p>
    <w:p>
      <w:pPr>
        <w:jc w:val="center"/>
        <w:rPr>
          <w:rFonts w:hint="eastAsia" w:ascii="方正小标宋简体" w:hAnsi="方正小标宋简体" w:eastAsia="方正小标宋简体" w:cs="方正小标宋简体"/>
          <w:kern w:val="0"/>
          <w:sz w:val="28"/>
          <w:szCs w:val="28"/>
          <w:lang w:val="en-US" w:eastAsia="zh-CN"/>
        </w:rPr>
      </w:pPr>
    </w:p>
    <w:p>
      <w:pPr>
        <w:jc w:val="center"/>
        <w:rPr>
          <w:rFonts w:hint="eastAsia" w:ascii="方正小标宋简体" w:hAnsi="方正小标宋简体" w:eastAsia="方正小标宋简体" w:cs="方正小标宋简体"/>
          <w:kern w:val="0"/>
          <w:sz w:val="32"/>
          <w:szCs w:val="32"/>
          <w:lang w:val="en-US" w:eastAsia="zh-CN"/>
        </w:rPr>
      </w:pPr>
      <w:bookmarkStart w:id="0" w:name="_GoBack"/>
      <w:r>
        <w:rPr>
          <w:rFonts w:hint="eastAsia" w:ascii="方正小标宋简体" w:hAnsi="方正小标宋简体" w:eastAsia="方正小标宋简体" w:cs="方正小标宋简体"/>
          <w:kern w:val="0"/>
          <w:sz w:val="32"/>
          <w:szCs w:val="32"/>
          <w:lang w:val="en-US" w:eastAsia="zh-CN"/>
        </w:rPr>
        <w:t>评分标准</w:t>
      </w:r>
    </w:p>
    <w:bookmarkEnd w:id="0"/>
    <w:tbl>
      <w:tblPr>
        <w:tblStyle w:val="4"/>
        <w:tblW w:w="4998" w:type="pct"/>
        <w:jc w:val="center"/>
        <w:tblCellSpacing w:w="0" w:type="dxa"/>
        <w:tblLayout w:type="autofit"/>
        <w:tblCellMar>
          <w:top w:w="45" w:type="dxa"/>
          <w:left w:w="45" w:type="dxa"/>
          <w:bottom w:w="45" w:type="dxa"/>
          <w:right w:w="45" w:type="dxa"/>
        </w:tblCellMar>
      </w:tblPr>
      <w:tblGrid>
        <w:gridCol w:w="8170"/>
        <w:gridCol w:w="223"/>
      </w:tblGrid>
      <w:tr>
        <w:tblPrEx>
          <w:tblCellMar>
            <w:top w:w="45" w:type="dxa"/>
            <w:left w:w="45" w:type="dxa"/>
            <w:bottom w:w="45" w:type="dxa"/>
            <w:right w:w="45" w:type="dxa"/>
          </w:tblCellMar>
        </w:tblPrEx>
        <w:trPr>
          <w:tblCellSpacing w:w="0" w:type="dxa"/>
          <w:jc w:val="center"/>
        </w:trPr>
        <w:tc>
          <w:tcPr>
            <w:tcW w:w="4867" w:type="pct"/>
            <w:tcBorders>
              <w:top w:val="nil"/>
              <w:left w:val="nil"/>
              <w:bottom w:val="nil"/>
              <w:right w:val="nil"/>
            </w:tcBorders>
            <w:noWrap w:val="0"/>
            <w:vAlign w:val="center"/>
          </w:tcPr>
          <w:p>
            <w:pPr>
              <w:rPr>
                <w:rFonts w:hint="eastAsia" w:ascii="宋体" w:hAnsi="宋体" w:cs="宋体"/>
                <w:b/>
                <w:bCs/>
                <w:sz w:val="24"/>
              </w:rPr>
            </w:pPr>
            <w:r>
              <w:rPr>
                <w:rFonts w:hint="eastAsia" w:ascii="宋体" w:hAnsi="宋体" w:cs="宋体"/>
                <w:b/>
                <w:bCs/>
                <w:sz w:val="24"/>
              </w:rPr>
              <w:t>评标方法：综合评分法（新价格分算法）</w:t>
            </w:r>
          </w:p>
        </w:tc>
        <w:tc>
          <w:tcPr>
            <w:tcW w:w="132" w:type="pct"/>
            <w:tcBorders>
              <w:top w:val="nil"/>
              <w:left w:val="nil"/>
              <w:bottom w:val="nil"/>
              <w:right w:val="nil"/>
            </w:tcBorders>
            <w:noWrap w:val="0"/>
            <w:vAlign w:val="center"/>
          </w:tcPr>
          <w:p>
            <w:pPr>
              <w:jc w:val="center"/>
              <w:rPr>
                <w:rFonts w:hint="eastAsia" w:ascii="宋体" w:hAnsi="宋体" w:cs="宋体"/>
                <w:b/>
                <w:bCs/>
                <w:sz w:val="24"/>
              </w:rPr>
            </w:pPr>
          </w:p>
        </w:tc>
      </w:tr>
      <w:tr>
        <w:tblPrEx>
          <w:tblCellMar>
            <w:top w:w="45" w:type="dxa"/>
            <w:left w:w="45" w:type="dxa"/>
            <w:bottom w:w="45" w:type="dxa"/>
            <w:right w:w="45" w:type="dxa"/>
          </w:tblCellMar>
        </w:tblPrEx>
        <w:trPr>
          <w:tblCellSpacing w:w="0" w:type="dxa"/>
          <w:jc w:val="center"/>
        </w:trPr>
        <w:tc>
          <w:tcPr>
            <w:tcW w:w="5000" w:type="pct"/>
            <w:gridSpan w:val="2"/>
            <w:tcBorders>
              <w:top w:val="nil"/>
              <w:left w:val="nil"/>
              <w:bottom w:val="nil"/>
              <w:right w:val="nil"/>
            </w:tcBorders>
            <w:noWrap w:val="0"/>
            <w:vAlign w:val="center"/>
          </w:tcPr>
          <w:p>
            <w:pPr>
              <w:pStyle w:val="3"/>
              <w:spacing w:before="0" w:beforeAutospacing="0" w:after="0" w:afterAutospacing="0"/>
              <w:ind w:firstLine="420"/>
              <w:jc w:val="both"/>
              <w:rPr>
                <w:rFonts w:hint="eastAsia" w:ascii="宋体" w:hAnsi="宋体" w:cs="宋体"/>
              </w:rPr>
            </w:pPr>
            <w:r>
              <w:rPr>
                <w:rFonts w:hint="eastAsia" w:ascii="宋体" w:hAnsi="宋体" w:cs="宋体"/>
              </w:rPr>
              <w:t>综合评分法，是指投标文件满足招标文件全部实质性要求，且按照评审因素的量化指标评审得分最高的投标人为中标候选人的评标方法。</w:t>
            </w:r>
          </w:p>
          <w:p>
            <w:pPr>
              <w:pStyle w:val="3"/>
              <w:spacing w:before="0" w:beforeAutospacing="0" w:after="0" w:afterAutospacing="0"/>
              <w:ind w:firstLine="420"/>
              <w:jc w:val="both"/>
              <w:rPr>
                <w:rFonts w:hint="eastAsia" w:ascii="宋体" w:hAnsi="宋体" w:cs="宋体"/>
                <w:b/>
                <w:bCs/>
              </w:rPr>
            </w:pPr>
            <w:r>
              <w:rPr>
                <w:rFonts w:hint="eastAsia" w:ascii="宋体" w:hAnsi="宋体" w:cs="宋体"/>
                <w:b/>
                <w:bCs/>
              </w:rPr>
              <w:t>价格分计算方法：</w:t>
            </w:r>
          </w:p>
          <w:p>
            <w:pPr>
              <w:pStyle w:val="3"/>
              <w:spacing w:before="0" w:beforeAutospacing="0" w:after="0" w:afterAutospacing="0"/>
              <w:ind w:firstLine="480" w:firstLineChars="200"/>
              <w:jc w:val="both"/>
              <w:rPr>
                <w:rFonts w:hint="eastAsia" w:ascii="宋体" w:hAnsi="宋体" w:cs="宋体"/>
              </w:rPr>
            </w:pPr>
            <w:r>
              <w:rPr>
                <w:rFonts w:hint="eastAsia" w:ascii="宋体" w:hAnsi="宋体" w:cs="宋体"/>
              </w:rPr>
              <w:t xml:space="preserve">采用低价优先法计算，即满足招标文件要求且投标价格最低的投标报价为评标基准价，其价格分为满分。其他投标人的价格分统一按照下列公式计算： </w:t>
            </w:r>
          </w:p>
          <w:p>
            <w:pPr>
              <w:pStyle w:val="3"/>
              <w:spacing w:before="0" w:beforeAutospacing="0" w:after="0" w:afterAutospacing="0"/>
              <w:ind w:firstLine="480" w:firstLineChars="200"/>
              <w:jc w:val="both"/>
              <w:rPr>
                <w:rFonts w:hint="eastAsia" w:ascii="宋体" w:hAnsi="宋体" w:cs="宋体"/>
              </w:rPr>
            </w:pPr>
            <w:r>
              <w:rPr>
                <w:rFonts w:hint="eastAsia" w:ascii="宋体" w:hAnsi="宋体" w:cs="宋体"/>
              </w:rPr>
              <w:t>投标报价得分=(评标基准价／投标报价)×价格分值</w:t>
            </w:r>
          </w:p>
          <w:p>
            <w:pPr>
              <w:pStyle w:val="3"/>
              <w:spacing w:before="0" w:beforeAutospacing="0" w:after="0" w:afterAutospacing="0"/>
              <w:ind w:firstLine="480" w:firstLineChars="200"/>
              <w:jc w:val="both"/>
              <w:rPr>
                <w:rFonts w:hint="eastAsia" w:ascii="宋体" w:hAnsi="宋体" w:cs="宋体"/>
              </w:rPr>
            </w:pPr>
            <w:r>
              <w:rPr>
                <w:rFonts w:hint="eastAsia" w:ascii="宋体" w:hAnsi="宋体" w:cs="宋体"/>
              </w:rPr>
              <w:t xml:space="preserve">评标过程中，不得去掉报价中的最高报价和最低报价。 </w:t>
            </w:r>
          </w:p>
        </w:tc>
      </w:tr>
      <w:tr>
        <w:tblPrEx>
          <w:tblCellMar>
            <w:top w:w="45" w:type="dxa"/>
            <w:left w:w="45" w:type="dxa"/>
            <w:bottom w:w="45" w:type="dxa"/>
            <w:right w:w="45" w:type="dxa"/>
          </w:tblCellMar>
        </w:tblPrEx>
        <w:trPr>
          <w:tblCellSpacing w:w="0" w:type="dxa"/>
          <w:jc w:val="center"/>
        </w:trPr>
        <w:tc>
          <w:tcPr>
            <w:tcW w:w="5000" w:type="pct"/>
            <w:gridSpan w:val="2"/>
            <w:tcBorders>
              <w:top w:val="nil"/>
              <w:left w:val="nil"/>
              <w:bottom w:val="nil"/>
              <w:right w:val="nil"/>
            </w:tcBorders>
            <w:noWrap w:val="0"/>
            <w:vAlign w:val="center"/>
          </w:tcPr>
          <w:tbl>
            <w:tblPr>
              <w:tblStyle w:val="4"/>
              <w:tblW w:w="4998" w:type="pct"/>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1"/>
              <w:gridCol w:w="501"/>
              <w:gridCol w:w="1511"/>
              <w:gridCol w:w="726"/>
              <w:gridCol w:w="5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CellSpacing w:w="0" w:type="dxa"/>
                <w:jc w:val="center"/>
              </w:trPr>
              <w:tc>
                <w:tcPr>
                  <w:tcW w:w="28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序号</w:t>
                  </w:r>
                </w:p>
              </w:tc>
              <w:tc>
                <w:tcPr>
                  <w:tcW w:w="1651" w:type="pct"/>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评分项</w:t>
                  </w:r>
                </w:p>
              </w:tc>
              <w:tc>
                <w:tcPr>
                  <w:tcW w:w="306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blCellSpacing w:w="0" w:type="dxa"/>
                <w:jc w:val="center"/>
              </w:trPr>
              <w:tc>
                <w:tcPr>
                  <w:tcW w:w="28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1</w:t>
                  </w:r>
                </w:p>
              </w:tc>
              <w:tc>
                <w:tcPr>
                  <w:tcW w:w="1651" w:type="pct"/>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价格</w:t>
                  </w:r>
                </w:p>
              </w:tc>
              <w:tc>
                <w:tcPr>
                  <w:tcW w:w="3064" w:type="pct"/>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Cs w:val="21"/>
                      <w:lang w:val="en-US" w:eastAsia="zh-CN"/>
                    </w:rPr>
                  </w:pPr>
                  <w:r>
                    <w:rPr>
                      <w:rFonts w:hint="eastAsia" w:ascii="宋体" w:hAnsi="宋体" w:cs="宋体"/>
                      <w:szCs w:val="21"/>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blCellSpacing w:w="0" w:type="dxa"/>
                <w:jc w:val="center"/>
              </w:trPr>
              <w:tc>
                <w:tcPr>
                  <w:tcW w:w="28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2</w:t>
                  </w:r>
                </w:p>
              </w:tc>
              <w:tc>
                <w:tcPr>
                  <w:tcW w:w="1651" w:type="pct"/>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技术</w:t>
                  </w:r>
                </w:p>
              </w:tc>
              <w:tc>
                <w:tcPr>
                  <w:tcW w:w="3064" w:type="pct"/>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Cs w:val="21"/>
                      <w:lang w:val="en-US" w:eastAsia="zh-CN"/>
                    </w:rPr>
                  </w:pPr>
                  <w:r>
                    <w:rPr>
                      <w:rFonts w:hint="eastAsia" w:ascii="宋体" w:hAnsi="宋体" w:cs="宋体"/>
                      <w:szCs w:val="21"/>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blCellSpacing w:w="0" w:type="dxa"/>
                <w:jc w:val="center"/>
              </w:trPr>
              <w:tc>
                <w:tcPr>
                  <w:tcW w:w="284" w:type="pct"/>
                  <w:vMerge w:val="restart"/>
                  <w:tcBorders>
                    <w:top w:val="single" w:color="auto" w:sz="4" w:space="0"/>
                    <w:left w:val="single" w:color="auto" w:sz="4" w:space="0"/>
                    <w:right w:val="single" w:color="auto" w:sz="4" w:space="0"/>
                  </w:tcBorders>
                  <w:noWrap w:val="0"/>
                  <w:vAlign w:val="center"/>
                </w:tcPr>
                <w:p>
                  <w:pPr>
                    <w:jc w:val="center"/>
                    <w:rPr>
                      <w:rFonts w:hint="eastAsia" w:ascii="宋体" w:hAnsi="宋体" w:cs="宋体"/>
                      <w:szCs w:val="21"/>
                    </w:rPr>
                  </w:pPr>
                </w:p>
              </w:tc>
              <w:tc>
                <w:tcPr>
                  <w:tcW w:w="302"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行号</w:t>
                  </w:r>
                </w:p>
              </w:tc>
              <w:tc>
                <w:tcPr>
                  <w:tcW w:w="911"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内容</w:t>
                  </w:r>
                </w:p>
              </w:tc>
              <w:tc>
                <w:tcPr>
                  <w:tcW w:w="437"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权重</w:t>
                  </w:r>
                </w:p>
              </w:tc>
              <w:tc>
                <w:tcPr>
                  <w:tcW w:w="306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blCellSpacing w:w="0" w:type="dxa"/>
                <w:jc w:val="center"/>
              </w:trPr>
              <w:tc>
                <w:tcPr>
                  <w:tcW w:w="284" w:type="pct"/>
                  <w:vMerge w:val="continue"/>
                  <w:tcBorders>
                    <w:left w:val="single" w:color="auto" w:sz="4" w:space="0"/>
                    <w:right w:val="single" w:color="auto" w:sz="4" w:space="0"/>
                  </w:tcBorders>
                  <w:noWrap w:val="0"/>
                  <w:vAlign w:val="center"/>
                </w:tcPr>
                <w:p>
                  <w:pPr>
                    <w:jc w:val="center"/>
                    <w:rPr>
                      <w:rFonts w:hint="eastAsia" w:ascii="宋体" w:hAnsi="宋体" w:cs="宋体"/>
                      <w:szCs w:val="21"/>
                    </w:rPr>
                  </w:pPr>
                </w:p>
              </w:tc>
              <w:tc>
                <w:tcPr>
                  <w:tcW w:w="302"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Cs w:val="21"/>
                      <w:lang w:eastAsia="zh-CN"/>
                    </w:rPr>
                  </w:pPr>
                  <w:r>
                    <w:rPr>
                      <w:rFonts w:hint="eastAsia" w:ascii="宋体" w:hAnsi="宋体" w:cs="宋体"/>
                      <w:szCs w:val="21"/>
                      <w:lang w:val="en-US" w:eastAsia="zh-CN"/>
                    </w:rPr>
                    <w:t>1</w:t>
                  </w:r>
                </w:p>
              </w:tc>
              <w:tc>
                <w:tcPr>
                  <w:tcW w:w="911"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eastAsia="宋体"/>
                    </w:rPr>
                    <w:t>项目整体方案</w:t>
                  </w:r>
                </w:p>
              </w:tc>
              <w:tc>
                <w:tcPr>
                  <w:tcW w:w="437" w:type="pct"/>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Cs w:val="21"/>
                      <w:lang w:val="en-US" w:eastAsia="zh-CN"/>
                    </w:rPr>
                  </w:pPr>
                  <w:r>
                    <w:rPr>
                      <w:rFonts w:hint="eastAsia" w:ascii="宋体" w:hAnsi="宋体" w:cs="宋体"/>
                      <w:szCs w:val="21"/>
                      <w:lang w:val="en-US" w:eastAsia="zh-CN"/>
                    </w:rPr>
                    <w:t>25</w:t>
                  </w:r>
                </w:p>
              </w:tc>
              <w:tc>
                <w:tcPr>
                  <w:tcW w:w="30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（一）评审内容</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针对供应商所提供的服务方案进行综合评审，方案包括但不限于：（1）项目需求把握理解（2）服务的整体设计（3）服务的功能设计（4）项目实施方案。满足4点得10分，任意一点未满足扣2.5分，最低0分。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在此基础上，专家根据各投标方的具体响应内容按照量化的评审因素指标进一步评审。</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1.服务方案设计合理、图文并茂、内容详实、具有前瞻性、切实可行得15分；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2.服务方案设计较为合理、内容详实、具备一定可行性满足要求得10分；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3. 服务方案设计一定程度满足任务要求得5分；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4. 服务方案设计不合理，缺乏可行性的得0分。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pPr>
                  <w:r>
                    <w:rPr>
                      <w:rFonts w:hint="eastAsia" w:ascii="仿宋_GB2312" w:hAnsi="Times New Roman" w:eastAsia="仿宋_GB2312" w:cs="仿宋_GB2312"/>
                      <w:spacing w:val="10"/>
                      <w:sz w:val="24"/>
                      <w:szCs w:val="28"/>
                      <w:highlight w:val="none"/>
                      <w:lang w:val="en-US" w:eastAsia="zh-CN"/>
                    </w:rPr>
                    <w:t>如果评审为差，要求专家书面说明理由，并记录在档。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blCellSpacing w:w="0" w:type="dxa"/>
                <w:jc w:val="center"/>
              </w:trPr>
              <w:tc>
                <w:tcPr>
                  <w:tcW w:w="284" w:type="pct"/>
                  <w:vMerge w:val="continue"/>
                  <w:tcBorders>
                    <w:left w:val="single" w:color="auto" w:sz="4" w:space="0"/>
                    <w:right w:val="single" w:color="auto" w:sz="4" w:space="0"/>
                  </w:tcBorders>
                  <w:noWrap w:val="0"/>
                  <w:vAlign w:val="center"/>
                </w:tcPr>
                <w:p>
                  <w:pPr>
                    <w:jc w:val="center"/>
                    <w:rPr>
                      <w:rFonts w:hint="eastAsia" w:ascii="宋体" w:hAnsi="宋体" w:cs="宋体"/>
                      <w:szCs w:val="21"/>
                    </w:rPr>
                  </w:pPr>
                </w:p>
              </w:tc>
              <w:tc>
                <w:tcPr>
                  <w:tcW w:w="302"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Cs w:val="21"/>
                      <w:lang w:eastAsia="zh-CN"/>
                    </w:rPr>
                  </w:pPr>
                  <w:r>
                    <w:rPr>
                      <w:rFonts w:hint="eastAsia" w:ascii="宋体" w:hAnsi="宋体" w:cs="宋体"/>
                      <w:szCs w:val="21"/>
                      <w:lang w:val="en-US" w:eastAsia="zh-CN"/>
                    </w:rPr>
                    <w:t>2</w:t>
                  </w:r>
                </w:p>
              </w:tc>
              <w:tc>
                <w:tcPr>
                  <w:tcW w:w="911"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eastAsia="宋体"/>
                    </w:rPr>
                    <w:t>项目安全保障措施</w:t>
                  </w:r>
                </w:p>
              </w:tc>
              <w:tc>
                <w:tcPr>
                  <w:tcW w:w="437" w:type="pct"/>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Cs w:val="21"/>
                      <w:lang w:val="en-US" w:eastAsia="zh-CN"/>
                    </w:rPr>
                  </w:pPr>
                  <w:r>
                    <w:rPr>
                      <w:rFonts w:hint="eastAsia" w:ascii="宋体" w:hAnsi="宋体" w:cs="宋体"/>
                      <w:szCs w:val="21"/>
                      <w:lang w:val="en-US" w:eastAsia="zh-CN"/>
                    </w:rPr>
                    <w:t>25</w:t>
                  </w:r>
                </w:p>
              </w:tc>
              <w:tc>
                <w:tcPr>
                  <w:tcW w:w="30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宋体" w:hAnsi="宋体" w:eastAsia="宋体" w:cs="宋体"/>
                      <w:kern w:val="0"/>
                      <w:sz w:val="24"/>
                      <w:szCs w:val="24"/>
                      <w:lang w:val="en-US" w:eastAsia="zh-CN" w:bidi="ar-SA"/>
                    </w:rPr>
                    <w:t xml:space="preserve"> </w:t>
                  </w:r>
                  <w:r>
                    <w:rPr>
                      <w:rFonts w:hint="eastAsia" w:ascii="仿宋_GB2312" w:hAnsi="Times New Roman" w:eastAsia="仿宋_GB2312" w:cs="仿宋_GB2312"/>
                      <w:spacing w:val="10"/>
                      <w:sz w:val="24"/>
                      <w:szCs w:val="28"/>
                      <w:highlight w:val="none"/>
                      <w:lang w:val="en-US" w:eastAsia="zh-CN"/>
                    </w:rPr>
                    <w:t xml:space="preserve"> （一）评审内容</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投标人提供本项目安全保障措施，包含但不限于以下内容：1、应急服务方案；2、项目进度计划；3、服务响应方案；4、服务结果评价方案。</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评审依据：</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以上内容满足4点得10分，任意一点未满足扣2.5分，最低0分。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在此基础上，专家根据各供应商的具体响应内容按照量化的评审因素指标进一步评审：</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1.服务保障措施方案详细、周密、工作计划合理、考虑全面，可行性高，得15分；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2.服务保障措施方案详细、周密、工作计划合理，考虑较全面，可行性较高，得10分；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3.服务保障措施方案一般、工作计划安排不够合理，考虑一般，可行性一般，得5分；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4.服务保障措施方案内容不完善、工作计划不合理、可行性差，得0分。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kern w:val="0"/>
                      <w:sz w:val="24"/>
                      <w:szCs w:val="24"/>
                      <w:lang w:val="en-US" w:eastAsia="zh-CN" w:bidi="ar-SA"/>
                    </w:rPr>
                  </w:pPr>
                  <w:r>
                    <w:rPr>
                      <w:rFonts w:hint="eastAsia" w:ascii="仿宋_GB2312" w:hAnsi="Times New Roman" w:eastAsia="仿宋_GB2312" w:cs="仿宋_GB2312"/>
                      <w:spacing w:val="10"/>
                      <w:sz w:val="24"/>
                      <w:szCs w:val="28"/>
                      <w:highlight w:val="none"/>
                      <w:lang w:val="en-US" w:eastAsia="zh-CN"/>
                    </w:rPr>
                    <w:t>如果评审为差，要求专家书面说明理由，并记录在档。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blCellSpacing w:w="0" w:type="dxa"/>
                <w:jc w:val="center"/>
              </w:trPr>
              <w:tc>
                <w:tcPr>
                  <w:tcW w:w="284" w:type="pct"/>
                  <w:vMerge w:val="continue"/>
                  <w:tcBorders>
                    <w:left w:val="single" w:color="auto" w:sz="4" w:space="0"/>
                    <w:right w:val="single" w:color="auto" w:sz="4" w:space="0"/>
                  </w:tcBorders>
                  <w:noWrap w:val="0"/>
                  <w:vAlign w:val="center"/>
                </w:tcPr>
                <w:p>
                  <w:pPr>
                    <w:jc w:val="center"/>
                    <w:rPr>
                      <w:rFonts w:hint="eastAsia" w:ascii="宋体" w:hAnsi="宋体" w:cs="宋体"/>
                      <w:szCs w:val="21"/>
                    </w:rPr>
                  </w:pPr>
                </w:p>
              </w:tc>
              <w:tc>
                <w:tcPr>
                  <w:tcW w:w="302"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5</w:t>
                  </w:r>
                </w:p>
              </w:tc>
              <w:tc>
                <w:tcPr>
                  <w:tcW w:w="911"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培训服务</w:t>
                  </w:r>
                </w:p>
              </w:tc>
              <w:tc>
                <w:tcPr>
                  <w:tcW w:w="437"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10</w:t>
                  </w:r>
                </w:p>
              </w:tc>
              <w:tc>
                <w:tcPr>
                  <w:tcW w:w="30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（一）评审内容</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考察投标人提供的培训服务次数及培训服务内容进行评分：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1.投标人承诺免费为采购人提供培训服务2次的，得2分，3次及以上的，得4分，其他不得分；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在此基础上，专家考察投标人为本项目提供的培训服务内容的完整性、契合性、丰富性、创新性等评审因素指标进一步评审：</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A.提供的培训服务方案完整性、契合性、丰富性、创新性高的，得6分；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B.提供的培训服务方案完整性、契合性、丰富性、创新性较高的，得3分；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C.提供的培训服务方案完整性、契合性、丰富性、创新性一般的，得1分；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D.提供的培训服务方案完整性、契合性、丰富性、创新性差的，得0分；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cs="宋体"/>
                      <w:szCs w:val="21"/>
                    </w:rPr>
                  </w:pPr>
                  <w:r>
                    <w:rPr>
                      <w:rFonts w:hint="eastAsia" w:ascii="仿宋_GB2312" w:hAnsi="Times New Roman" w:eastAsia="仿宋_GB2312" w:cs="仿宋_GB2312"/>
                      <w:spacing w:val="10"/>
                      <w:sz w:val="24"/>
                      <w:szCs w:val="28"/>
                      <w:highlight w:val="none"/>
                      <w:lang w:val="en-US" w:eastAsia="zh-CN"/>
                    </w:rPr>
                    <w:t>如果评审为差，要求专家书面说明理由，并记录在档。注：本项得分为“1+2项”满分为10分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CellSpacing w:w="0" w:type="dxa"/>
                <w:jc w:val="center"/>
              </w:trPr>
              <w:tc>
                <w:tcPr>
                  <w:tcW w:w="28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3</w:t>
                  </w:r>
                </w:p>
              </w:tc>
              <w:tc>
                <w:tcPr>
                  <w:tcW w:w="1651" w:type="pct"/>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综合实力</w:t>
                  </w:r>
                </w:p>
              </w:tc>
              <w:tc>
                <w:tcPr>
                  <w:tcW w:w="3064" w:type="pct"/>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Cs w:val="21"/>
                      <w:lang w:val="en-US" w:eastAsia="zh-CN"/>
                    </w:rPr>
                  </w:pPr>
                  <w:r>
                    <w:rPr>
                      <w:rFonts w:hint="eastAsia" w:ascii="宋体" w:hAnsi="宋体" w:cs="宋体"/>
                      <w:szCs w:val="21"/>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blCellSpacing w:w="0" w:type="dxa"/>
                <w:jc w:val="center"/>
              </w:trPr>
              <w:tc>
                <w:tcPr>
                  <w:tcW w:w="284" w:type="pct"/>
                  <w:vMerge w:val="restart"/>
                  <w:tcBorders>
                    <w:top w:val="single" w:color="auto" w:sz="4" w:space="0"/>
                    <w:left w:val="single" w:color="auto" w:sz="4" w:space="0"/>
                    <w:right w:val="single" w:color="auto" w:sz="4" w:space="0"/>
                  </w:tcBorders>
                  <w:noWrap w:val="0"/>
                  <w:vAlign w:val="center"/>
                </w:tcPr>
                <w:p>
                  <w:pPr>
                    <w:jc w:val="center"/>
                    <w:rPr>
                      <w:rFonts w:hint="eastAsia" w:ascii="宋体" w:hAnsi="宋体" w:cs="宋体"/>
                      <w:szCs w:val="21"/>
                    </w:rPr>
                  </w:pPr>
                </w:p>
              </w:tc>
              <w:tc>
                <w:tcPr>
                  <w:tcW w:w="302"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行号</w:t>
                  </w:r>
                </w:p>
              </w:tc>
              <w:tc>
                <w:tcPr>
                  <w:tcW w:w="911"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内容</w:t>
                  </w:r>
                </w:p>
              </w:tc>
              <w:tc>
                <w:tcPr>
                  <w:tcW w:w="437"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权重</w:t>
                  </w:r>
                </w:p>
              </w:tc>
              <w:tc>
                <w:tcPr>
                  <w:tcW w:w="306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blCellSpacing w:w="0" w:type="dxa"/>
                <w:jc w:val="center"/>
              </w:trPr>
              <w:tc>
                <w:tcPr>
                  <w:tcW w:w="284" w:type="pct"/>
                  <w:vMerge w:val="continue"/>
                  <w:tcBorders>
                    <w:left w:val="single" w:color="auto" w:sz="4" w:space="0"/>
                    <w:right w:val="single" w:color="auto" w:sz="4" w:space="0"/>
                  </w:tcBorders>
                  <w:noWrap w:val="0"/>
                  <w:vAlign w:val="center"/>
                </w:tcPr>
                <w:p>
                  <w:pPr>
                    <w:jc w:val="center"/>
                    <w:rPr>
                      <w:rFonts w:hint="eastAsia" w:ascii="宋体" w:hAnsi="宋体" w:cs="宋体"/>
                      <w:szCs w:val="21"/>
                    </w:rPr>
                  </w:pPr>
                </w:p>
              </w:tc>
              <w:tc>
                <w:tcPr>
                  <w:tcW w:w="302"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2</w:t>
                  </w:r>
                </w:p>
              </w:tc>
              <w:tc>
                <w:tcPr>
                  <w:tcW w:w="911"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lang w:val="en-US" w:eastAsia="zh-CN"/>
                    </w:rPr>
                    <w:t>同类</w:t>
                  </w:r>
                  <w:r>
                    <w:rPr>
                      <w:rFonts w:hint="eastAsia" w:ascii="宋体" w:hAnsi="宋体" w:cs="宋体"/>
                      <w:szCs w:val="21"/>
                    </w:rPr>
                    <w:t>业绩</w:t>
                  </w:r>
                </w:p>
              </w:tc>
              <w:tc>
                <w:tcPr>
                  <w:tcW w:w="437"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Cs w:val="21"/>
                      <w:lang w:eastAsia="zh-CN"/>
                    </w:rPr>
                  </w:pPr>
                  <w:r>
                    <w:rPr>
                      <w:rFonts w:hint="eastAsia" w:ascii="宋体" w:hAnsi="宋体" w:cs="宋体"/>
                      <w:szCs w:val="21"/>
                      <w:lang w:val="en-US" w:eastAsia="zh-CN"/>
                    </w:rPr>
                    <w:t>8</w:t>
                  </w:r>
                </w:p>
              </w:tc>
              <w:tc>
                <w:tcPr>
                  <w:tcW w:w="30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（一）评审内容</w:t>
                  </w:r>
                </w:p>
                <w:p>
                  <w:pPr>
                    <w:keepNext w:val="0"/>
                    <w:keepLines w:val="0"/>
                    <w:pageBreakBefore w:val="0"/>
                    <w:widowControl w:val="0"/>
                    <w:kinsoku/>
                    <w:wordWrap/>
                    <w:overflowPunct/>
                    <w:topLinePunct w:val="0"/>
                    <w:autoSpaceDE/>
                    <w:autoSpaceDN/>
                    <w:bidi w:val="0"/>
                    <w:adjustRightInd/>
                    <w:snapToGrid w:val="0"/>
                    <w:spacing w:line="360" w:lineRule="exact"/>
                    <w:ind w:firstLine="520" w:firstLineChars="200"/>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投标人2023年1月1日以来类似系统开发项目案例，每个得2分，最高8分。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（二）评分标准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1.供应商须提供项目列表、合同关键页复印件（提供首页、运维内容页、金额页、双方签字盖章页）并加盖供应商公章。</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2.通过合同关键信息无法判断是否得分的，还须同时提供能证明得分的其它证明资料，如项目报告或合同甲方出具的证明文件等。</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cs="宋体"/>
                      <w:szCs w:val="21"/>
                    </w:rPr>
                  </w:pPr>
                  <w:r>
                    <w:rPr>
                      <w:rFonts w:hint="eastAsia" w:ascii="仿宋_GB2312" w:hAnsi="Times New Roman" w:eastAsia="仿宋_GB2312" w:cs="仿宋_GB2312"/>
                      <w:spacing w:val="10"/>
                      <w:sz w:val="24"/>
                      <w:szCs w:val="28"/>
                      <w:highlight w:val="none"/>
                      <w:lang w:val="en-US" w:eastAsia="zh-CN"/>
                    </w:rPr>
                    <w:t>3.以上资料均要求提供复印件或扫描件加盖投标人公章，原件备查。评分中出现无证明资料或专家无法凭所提供资料判断是否得分的情况，一律作不得分处理。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blCellSpacing w:w="0" w:type="dxa"/>
                <w:jc w:val="center"/>
              </w:trPr>
              <w:tc>
                <w:tcPr>
                  <w:tcW w:w="284" w:type="pct"/>
                  <w:vMerge w:val="continue"/>
                  <w:tcBorders>
                    <w:left w:val="single" w:color="auto" w:sz="4" w:space="0"/>
                    <w:right w:val="single" w:color="auto" w:sz="4" w:space="0"/>
                  </w:tcBorders>
                  <w:noWrap w:val="0"/>
                  <w:vAlign w:val="center"/>
                </w:tcPr>
                <w:p>
                  <w:pPr>
                    <w:jc w:val="center"/>
                    <w:rPr>
                      <w:rFonts w:hint="eastAsia" w:ascii="宋体" w:hAnsi="宋体" w:cs="宋体"/>
                      <w:szCs w:val="21"/>
                    </w:rPr>
                  </w:pPr>
                </w:p>
              </w:tc>
              <w:tc>
                <w:tcPr>
                  <w:tcW w:w="302"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4</w:t>
                  </w:r>
                </w:p>
              </w:tc>
              <w:tc>
                <w:tcPr>
                  <w:tcW w:w="911"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项目团队</w:t>
                  </w:r>
                </w:p>
              </w:tc>
              <w:tc>
                <w:tcPr>
                  <w:tcW w:w="437"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Cs w:val="21"/>
                      <w:lang w:eastAsia="zh-CN"/>
                    </w:rPr>
                  </w:pPr>
                  <w:r>
                    <w:rPr>
                      <w:rFonts w:hint="eastAsia" w:ascii="宋体" w:hAnsi="宋体" w:cs="宋体"/>
                      <w:szCs w:val="21"/>
                      <w:lang w:val="en-US" w:eastAsia="zh-CN"/>
                    </w:rPr>
                    <w:t>7</w:t>
                  </w:r>
                </w:p>
              </w:tc>
              <w:tc>
                <w:tcPr>
                  <w:tcW w:w="30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（一）评审内容</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投标人须配备的其他服务人员及能力要求如下：</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（1）具有高级软件工程师或计算机软件高级程序员资格证书得1分，最高3分；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（2）具有高级系统架构设计师资格证书的得2分，最高4分；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以上二类成员不可重复计分，累计最高得7分。</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评审依据：</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Times New Roman" w:eastAsia="仿宋_GB2312" w:cs="仿宋_GB2312"/>
                      <w:spacing w:val="10"/>
                      <w:sz w:val="24"/>
                      <w:szCs w:val="28"/>
                      <w:highlight w:val="none"/>
                      <w:lang w:val="en-US" w:eastAsia="zh-CN"/>
                    </w:rPr>
                  </w:pPr>
                  <w:r>
                    <w:rPr>
                      <w:rFonts w:hint="eastAsia" w:ascii="仿宋_GB2312" w:hAnsi="Times New Roman" w:eastAsia="仿宋_GB2312" w:cs="仿宋_GB2312"/>
                      <w:spacing w:val="10"/>
                      <w:sz w:val="24"/>
                      <w:szCs w:val="28"/>
                      <w:highlight w:val="none"/>
                      <w:lang w:val="en-US" w:eastAsia="zh-CN"/>
                    </w:rPr>
                    <w:t>1.提供人员相关证书证明资料。</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cs="宋体"/>
                      <w:szCs w:val="21"/>
                    </w:rPr>
                  </w:pPr>
                  <w:r>
                    <w:rPr>
                      <w:rFonts w:hint="eastAsia" w:ascii="仿宋_GB2312" w:hAnsi="Times New Roman" w:eastAsia="仿宋_GB2312" w:cs="仿宋_GB2312"/>
                      <w:spacing w:val="10"/>
                      <w:sz w:val="24"/>
                      <w:szCs w:val="28"/>
                      <w:highlight w:val="none"/>
                      <w:lang w:val="en-US" w:eastAsia="zh-CN"/>
                    </w:rPr>
                    <w:t>2.本项目人员需为本单位自有员工，要求提供上述项目主要团队成员的社保清单（提供投标截止日前1个月投标人为其购买的社保清单，如开标日上1个月的社保材料因社保部门原因暂时无法取得，则可以往前顺延一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blCellSpacing w:w="0" w:type="dxa"/>
                <w:jc w:val="center"/>
              </w:trPr>
              <w:tc>
                <w:tcPr>
                  <w:tcW w:w="28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4</w:t>
                  </w:r>
                </w:p>
              </w:tc>
              <w:tc>
                <w:tcPr>
                  <w:tcW w:w="1651" w:type="pct"/>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诚信情况</w:t>
                  </w:r>
                </w:p>
              </w:tc>
              <w:tc>
                <w:tcPr>
                  <w:tcW w:w="306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blCellSpacing w:w="0" w:type="dxa"/>
                <w:jc w:val="center"/>
              </w:trPr>
              <w:tc>
                <w:tcPr>
                  <w:tcW w:w="284" w:type="pct"/>
                  <w:vMerge w:val="restart"/>
                  <w:tcBorders>
                    <w:top w:val="single" w:color="auto" w:sz="4" w:space="0"/>
                    <w:left w:val="single" w:color="auto" w:sz="4" w:space="0"/>
                    <w:right w:val="single" w:color="auto" w:sz="4" w:space="0"/>
                  </w:tcBorders>
                  <w:noWrap w:val="0"/>
                  <w:vAlign w:val="center"/>
                </w:tcPr>
                <w:p>
                  <w:pPr>
                    <w:jc w:val="center"/>
                    <w:rPr>
                      <w:rFonts w:hint="eastAsia" w:ascii="宋体" w:hAnsi="宋体" w:cs="宋体"/>
                      <w:szCs w:val="21"/>
                    </w:rPr>
                  </w:pPr>
                </w:p>
              </w:tc>
              <w:tc>
                <w:tcPr>
                  <w:tcW w:w="302"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序号</w:t>
                  </w:r>
                </w:p>
              </w:tc>
              <w:tc>
                <w:tcPr>
                  <w:tcW w:w="911"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评分因素</w:t>
                  </w:r>
                </w:p>
              </w:tc>
              <w:tc>
                <w:tcPr>
                  <w:tcW w:w="437"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权重</w:t>
                  </w:r>
                </w:p>
              </w:tc>
              <w:tc>
                <w:tcPr>
                  <w:tcW w:w="306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blCellSpacing w:w="0" w:type="dxa"/>
                <w:jc w:val="center"/>
              </w:trPr>
              <w:tc>
                <w:tcPr>
                  <w:tcW w:w="284" w:type="pct"/>
                  <w:vMerge w:val="continue"/>
                  <w:tcBorders>
                    <w:left w:val="single" w:color="auto" w:sz="4" w:space="0"/>
                    <w:right w:val="single" w:color="auto" w:sz="4" w:space="0"/>
                  </w:tcBorders>
                  <w:noWrap w:val="0"/>
                  <w:vAlign w:val="center"/>
                </w:tcPr>
                <w:p>
                  <w:pPr>
                    <w:jc w:val="center"/>
                    <w:rPr>
                      <w:rFonts w:hint="eastAsia" w:ascii="宋体" w:hAnsi="宋体" w:cs="宋体"/>
                      <w:szCs w:val="21"/>
                    </w:rPr>
                  </w:pPr>
                </w:p>
              </w:tc>
              <w:tc>
                <w:tcPr>
                  <w:tcW w:w="302"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1</w:t>
                  </w:r>
                </w:p>
              </w:tc>
              <w:tc>
                <w:tcPr>
                  <w:tcW w:w="911" w:type="pct"/>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诚信情况</w:t>
                  </w:r>
                </w:p>
              </w:tc>
              <w:tc>
                <w:tcPr>
                  <w:tcW w:w="437" w:type="pct"/>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w:t>
                  </w:r>
                </w:p>
              </w:tc>
              <w:tc>
                <w:tcPr>
                  <w:tcW w:w="3064" w:type="pct"/>
                  <w:tcBorders>
                    <w:top w:val="single" w:color="auto" w:sz="4" w:space="0"/>
                    <w:left w:val="single" w:color="auto" w:sz="4" w:space="0"/>
                    <w:bottom w:val="single" w:color="auto" w:sz="4" w:space="0"/>
                    <w:right w:val="single" w:color="auto" w:sz="4" w:space="0"/>
                  </w:tcBorders>
                  <w:noWrap w:val="0"/>
                  <w:vAlign w:val="center"/>
                </w:tcPr>
                <w:p>
                  <w:pPr>
                    <w:pStyle w:val="3"/>
                    <w:widowControl/>
                    <w:spacing w:beforeAutospacing="0" w:afterAutospacing="0" w:line="340" w:lineRule="exact"/>
                    <w:rPr>
                      <w:rFonts w:hint="eastAsia" w:ascii="仿宋_GB2312" w:hAnsi="仿宋_GB2312" w:eastAsia="仿宋_GB2312" w:cs="仿宋_GB2312"/>
                      <w:b/>
                      <w:bCs/>
                      <w:color w:val="auto"/>
                      <w:kern w:val="2"/>
                      <w:sz w:val="21"/>
                      <w:szCs w:val="21"/>
                      <w:highlight w:val="none"/>
                      <w:lang w:val="en-US" w:eastAsia="zh-CN" w:bidi="ar-SA"/>
                    </w:rPr>
                  </w:pPr>
                  <w:r>
                    <w:rPr>
                      <w:rFonts w:hint="eastAsia" w:ascii="仿宋_GB2312" w:hAnsi="仿宋_GB2312" w:eastAsia="仿宋_GB2312" w:cs="仿宋_GB2312"/>
                      <w:b/>
                      <w:bCs/>
                      <w:color w:val="auto"/>
                      <w:kern w:val="2"/>
                      <w:sz w:val="21"/>
                      <w:szCs w:val="21"/>
                      <w:highlight w:val="none"/>
                      <w:lang w:val="en-US" w:eastAsia="zh-CN" w:bidi="ar-SA"/>
                    </w:rPr>
                    <w:t>评分内容：</w:t>
                  </w:r>
                </w:p>
                <w:p>
                  <w:pPr>
                    <w:pStyle w:val="3"/>
                    <w:widowControl/>
                    <w:spacing w:beforeAutospacing="0" w:afterAutospacing="0" w:line="340" w:lineRule="exact"/>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供应商存在《深圳市财政局政府采购供应商信用信息管理办法》（深财规〔2023〕3号）列明的一般行政处罚信息、一般违法失信记录信息的，本项不得分，不存在上述情形的本项得5分。供应商无需提供任何证明材料，评标过程中由工作人员向评审委员会提供有关供应商诚信查询结果</w:t>
                  </w:r>
                </w:p>
                <w:p>
                  <w:pPr>
                    <w:pStyle w:val="3"/>
                    <w:widowControl/>
                    <w:spacing w:beforeAutospacing="0" w:afterAutospacing="0" w:line="340" w:lineRule="exact"/>
                    <w:rPr>
                      <w:rFonts w:hint="eastAsia" w:ascii="仿宋_GB2312" w:hAnsi="仿宋_GB2312" w:eastAsia="仿宋_GB2312" w:cs="仿宋_GB2312"/>
                      <w:b/>
                      <w:bCs/>
                      <w:color w:val="auto"/>
                      <w:kern w:val="2"/>
                      <w:sz w:val="21"/>
                      <w:szCs w:val="21"/>
                      <w:highlight w:val="none"/>
                      <w:lang w:val="en-US" w:eastAsia="zh-CN" w:bidi="ar-SA"/>
                    </w:rPr>
                  </w:pPr>
                  <w:r>
                    <w:rPr>
                      <w:rFonts w:hint="eastAsia" w:ascii="仿宋_GB2312" w:hAnsi="仿宋_GB2312" w:eastAsia="仿宋_GB2312" w:cs="仿宋_GB2312"/>
                      <w:b/>
                      <w:bCs/>
                      <w:color w:val="auto"/>
                      <w:kern w:val="2"/>
                      <w:sz w:val="21"/>
                      <w:szCs w:val="21"/>
                      <w:highlight w:val="none"/>
                      <w:lang w:val="en-US" w:eastAsia="zh-CN" w:bidi="ar-SA"/>
                    </w:rPr>
                    <w:t>评分依据：</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kern w:val="0"/>
                      <w:sz w:val="24"/>
                      <w:szCs w:val="24"/>
                      <w:lang w:val="en-US" w:eastAsia="zh-CN" w:bidi="ar-SA"/>
                    </w:rPr>
                  </w:pPr>
                  <w:r>
                    <w:rPr>
                      <w:rFonts w:hint="eastAsia" w:ascii="仿宋_GB2312" w:hAnsi="仿宋_GB2312" w:eastAsia="仿宋_GB2312" w:cs="仿宋_GB2312"/>
                      <w:color w:val="auto"/>
                      <w:kern w:val="2"/>
                      <w:sz w:val="21"/>
                      <w:szCs w:val="21"/>
                      <w:highlight w:val="none"/>
                      <w:lang w:val="en-US" w:eastAsia="zh-CN" w:bidi="ar-SA"/>
                    </w:rPr>
                    <w:t>查询渠道：通过“信用中国”（www.creditchina.gov.cn，下载信用信息报告）、“中国政府采购网”（www.ccgp.gov.cn）以及“深圳市政府采购监管网”（http://zfcg.sz.gov.cn）查询供应商信用信息，信用信息以开标当日的查询结果为准。</w:t>
                  </w:r>
                </w:p>
              </w:tc>
            </w:tr>
          </w:tbl>
          <w:p>
            <w:pPr>
              <w:pStyle w:val="3"/>
              <w:spacing w:before="0" w:beforeAutospacing="0" w:after="0" w:afterAutospacing="0"/>
              <w:jc w:val="both"/>
              <w:rPr>
                <w:rFonts w:hint="eastAsia" w:ascii="宋体" w:hAnsi="宋体" w:cs="宋体"/>
                <w:b/>
              </w:rPr>
            </w:pPr>
          </w:p>
        </w:tc>
      </w:tr>
    </w:tbl>
    <w:p>
      <w:pPr>
        <w:widowControl/>
        <w:spacing w:line="360" w:lineRule="auto"/>
        <w:ind w:right="600"/>
        <w:rPr>
          <w:rFonts w:hint="eastAsia" w:ascii="黑体" w:hAnsi="黑体" w:eastAsia="黑体" w:cs="黑体"/>
          <w:b w:val="0"/>
          <w:bCs w:val="0"/>
          <w:kern w:val="2"/>
          <w:sz w:val="32"/>
          <w:szCs w:val="32"/>
          <w:lang w:val="en-US" w:eastAsia="zh-CN" w:bidi="ar-SA"/>
        </w:rPr>
      </w:pPr>
    </w:p>
    <w:p>
      <w:pPr>
        <w:widowControl/>
        <w:spacing w:line="360" w:lineRule="auto"/>
        <w:ind w:right="600"/>
        <w:rPr>
          <w:rFonts w:hint="eastAsia" w:ascii="黑体" w:hAnsi="黑体" w:eastAsia="黑体" w:cs="黑体"/>
          <w:b w:val="0"/>
          <w:bCs w:val="0"/>
          <w:kern w:val="2"/>
          <w:sz w:val="32"/>
          <w:szCs w:val="32"/>
          <w:lang w:val="en-US" w:eastAsia="zh-CN" w:bidi="ar-SA"/>
        </w:rPr>
      </w:pPr>
    </w:p>
    <w:p>
      <w:pPr>
        <w:widowControl/>
        <w:spacing w:line="360" w:lineRule="auto"/>
        <w:ind w:right="600"/>
        <w:rPr>
          <w:rFonts w:hint="eastAsia" w:ascii="黑体" w:hAnsi="黑体" w:eastAsia="黑体" w:cs="黑体"/>
          <w:b w:val="0"/>
          <w:bCs w:val="0"/>
          <w:kern w:val="2"/>
          <w:sz w:val="32"/>
          <w:szCs w:val="32"/>
          <w:lang w:val="en-US" w:eastAsia="zh-CN" w:bidi="ar-SA"/>
        </w:rPr>
      </w:pPr>
    </w:p>
    <w:p>
      <w:pPr>
        <w:widowControl/>
        <w:spacing w:line="360" w:lineRule="auto"/>
        <w:ind w:right="600"/>
        <w:rPr>
          <w:rFonts w:hint="eastAsia" w:ascii="黑体" w:hAnsi="黑体" w:eastAsia="黑体" w:cs="黑体"/>
          <w:b w:val="0"/>
          <w:bCs w:val="0"/>
          <w:kern w:val="2"/>
          <w:sz w:val="32"/>
          <w:szCs w:val="32"/>
          <w:lang w:val="en-US" w:eastAsia="zh-CN" w:bidi="ar-SA"/>
        </w:rPr>
      </w:pPr>
    </w:p>
    <w:p>
      <w:pPr>
        <w:widowControl/>
        <w:spacing w:line="360" w:lineRule="auto"/>
        <w:ind w:right="600"/>
        <w:rPr>
          <w:rFonts w:hint="eastAsia" w:ascii="黑体" w:hAnsi="黑体" w:eastAsia="黑体" w:cs="黑体"/>
          <w:b w:val="0"/>
          <w:bCs w:val="0"/>
          <w:kern w:val="2"/>
          <w:sz w:val="32"/>
          <w:szCs w:val="32"/>
          <w:lang w:val="en-US" w:eastAsia="zh-CN" w:bidi="ar-SA"/>
        </w:rPr>
      </w:pPr>
    </w:p>
    <w:p>
      <w:pPr>
        <w:widowControl/>
        <w:spacing w:line="360" w:lineRule="auto"/>
        <w:ind w:right="600"/>
        <w:rPr>
          <w:rFonts w:hint="eastAsia" w:ascii="黑体" w:hAnsi="黑体" w:eastAsia="黑体" w:cs="黑体"/>
          <w:b w:val="0"/>
          <w:bCs w:val="0"/>
          <w:kern w:val="2"/>
          <w:sz w:val="32"/>
          <w:szCs w:val="32"/>
          <w:lang w:val="en-US" w:eastAsia="zh-CN" w:bidi="ar-SA"/>
        </w:rPr>
      </w:pPr>
    </w:p>
    <w:p>
      <w:pPr>
        <w:widowControl/>
        <w:spacing w:line="360" w:lineRule="auto"/>
        <w:ind w:right="600"/>
        <w:rPr>
          <w:rFonts w:hint="eastAsia" w:ascii="黑体" w:hAnsi="黑体" w:eastAsia="黑体" w:cs="黑体"/>
          <w:b w:val="0"/>
          <w:bCs w:val="0"/>
          <w:kern w:val="2"/>
          <w:sz w:val="32"/>
          <w:szCs w:val="32"/>
          <w:lang w:val="en-US" w:eastAsia="zh-CN" w:bidi="ar-SA"/>
        </w:rPr>
      </w:pPr>
    </w:p>
    <w:p>
      <w:pPr>
        <w:widowControl/>
        <w:spacing w:line="360" w:lineRule="auto"/>
        <w:ind w:right="600"/>
        <w:rPr>
          <w:rFonts w:hint="eastAsia" w:ascii="黑体" w:hAnsi="黑体" w:eastAsia="黑体" w:cs="黑体"/>
          <w:b w:val="0"/>
          <w:bCs w:val="0"/>
          <w:kern w:val="2"/>
          <w:sz w:val="32"/>
          <w:szCs w:val="32"/>
          <w:lang w:val="en-US" w:eastAsia="zh-CN" w:bidi="ar-SA"/>
        </w:rPr>
      </w:pPr>
    </w:p>
    <w:p>
      <w:pPr>
        <w:widowControl/>
        <w:spacing w:line="360" w:lineRule="auto"/>
        <w:ind w:right="600"/>
        <w:rPr>
          <w:rFonts w:hint="eastAsia" w:ascii="黑体" w:hAnsi="黑体" w:eastAsia="黑体" w:cs="黑体"/>
          <w:b w:val="0"/>
          <w:bCs w:val="0"/>
          <w:kern w:val="2"/>
          <w:sz w:val="32"/>
          <w:szCs w:val="32"/>
          <w:lang w:val="en-US" w:eastAsia="zh-CN" w:bidi="ar-SA"/>
        </w:rPr>
      </w:pPr>
    </w:p>
    <w:p>
      <w:pPr>
        <w:widowControl/>
        <w:spacing w:line="360" w:lineRule="auto"/>
        <w:ind w:right="600"/>
        <w:rPr>
          <w:rFonts w:hint="eastAsia" w:ascii="黑体" w:hAnsi="黑体" w:eastAsia="黑体" w:cs="黑体"/>
          <w:b w:val="0"/>
          <w:bCs w:val="0"/>
          <w:kern w:val="2"/>
          <w:sz w:val="32"/>
          <w:szCs w:val="32"/>
          <w:lang w:val="en-US" w:eastAsia="zh-CN" w:bidi="ar-S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3FAF11AF"/>
    <w:rsid w:val="4A194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2018-07-11T15:11:00Z</dcterms:created>
  <dc:creator>d</dc:creator>
  <cp:lastModifiedBy>马恒珠</cp:lastModifiedBy>
  <dcterms:modified xsi:type="dcterms:W3CDTF">2026-09-20T15:16:59Z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2052-11.8.2.10681</vt:lpwstr>
  </property>
</Properties>
</file>