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spacing w:before="156" w:beforeLines="50" w:after="156" w:afterLines="50"/>
        <w:ind w:firstLine="862" w:firstLineChars="196"/>
        <w:jc w:val="center"/>
        <w:rPr>
          <w:rFonts w:hint="eastAsia" w:ascii="方正小标宋简体" w:hAnsi="方正小标宋简体" w:eastAsia="方正小标宋简体" w:cs="方正小标宋简体"/>
          <w:b w:val="0"/>
          <w:bCs w:val="0"/>
          <w:color w:val="auto"/>
          <w:sz w:val="44"/>
          <w:szCs w:val="44"/>
          <w:highlight w:val="none"/>
          <w:shd w:val="clear" w:color="auto" w:fill="auto"/>
        </w:rPr>
      </w:pPr>
      <w:r>
        <w:rPr>
          <w:rFonts w:hint="eastAsia" w:ascii="方正小标宋简体" w:hAnsi="方正小标宋简体" w:eastAsia="方正小标宋简体" w:cs="方正小标宋简体"/>
          <w:b w:val="0"/>
          <w:bCs w:val="0"/>
          <w:color w:val="auto"/>
          <w:sz w:val="44"/>
          <w:szCs w:val="44"/>
          <w:highlight w:val="none"/>
          <w:shd w:val="clear" w:color="auto" w:fill="auto"/>
        </w:rPr>
        <w:t>评分细则表</w:t>
      </w:r>
    </w:p>
    <w:p>
      <w:pPr>
        <w:pStyle w:val="6"/>
        <w:rPr>
          <w:rFonts w:hint="eastAsia"/>
        </w:rPr>
      </w:pPr>
    </w:p>
    <w:tbl>
      <w:tblPr>
        <w:tblStyle w:val="14"/>
        <w:tblW w:w="5699" w:type="pct"/>
        <w:jc w:val="center"/>
        <w:tblCellSpacing w:w="0" w:type="dxa"/>
        <w:tblLayout w:type="autofit"/>
        <w:tblCellMar>
          <w:top w:w="45" w:type="dxa"/>
          <w:left w:w="45" w:type="dxa"/>
          <w:bottom w:w="45" w:type="dxa"/>
          <w:right w:w="45" w:type="dxa"/>
        </w:tblCellMar>
      </w:tblPr>
      <w:tblGrid>
        <w:gridCol w:w="8428"/>
        <w:gridCol w:w="1242"/>
      </w:tblGrid>
      <w:tr>
        <w:tblPrEx>
          <w:tblCellMar>
            <w:top w:w="45" w:type="dxa"/>
            <w:left w:w="45" w:type="dxa"/>
            <w:bottom w:w="45" w:type="dxa"/>
            <w:right w:w="45" w:type="dxa"/>
          </w:tblCellMar>
        </w:tblPrEx>
        <w:trPr>
          <w:tblCellSpacing w:w="0" w:type="dxa"/>
          <w:jc w:val="center"/>
        </w:trPr>
        <w:tc>
          <w:tcPr>
            <w:tcW w:w="4358" w:type="pct"/>
            <w:tcBorders>
              <w:top w:val="nil"/>
              <w:left w:val="nil"/>
              <w:bottom w:val="nil"/>
              <w:right w:val="nil"/>
            </w:tcBorders>
            <w:noWrap w:val="0"/>
            <w:vAlign w:val="center"/>
          </w:tcPr>
          <w:p>
            <w:pPr>
              <w:rPr>
                <w:rFonts w:hint="eastAsia" w:ascii="宋体" w:hAnsi="宋体" w:eastAsia="宋体" w:cs="宋体"/>
                <w:b/>
                <w:bCs/>
                <w:color w:val="auto"/>
                <w:sz w:val="24"/>
                <w:highlight w:val="none"/>
                <w:shd w:val="clear" w:color="auto" w:fill="auto"/>
              </w:rPr>
            </w:pPr>
            <w:r>
              <w:rPr>
                <w:rFonts w:hint="eastAsia" w:ascii="宋体" w:hAnsi="宋体" w:eastAsia="宋体" w:cs="宋体"/>
                <w:b/>
                <w:bCs/>
                <w:color w:val="auto"/>
                <w:sz w:val="24"/>
                <w:szCs w:val="32"/>
                <w:highlight w:val="none"/>
                <w:shd w:val="clear" w:color="auto" w:fill="auto"/>
              </w:rPr>
              <w:t>评标方法：综合评分法（新价格分算法）</w:t>
            </w:r>
          </w:p>
        </w:tc>
        <w:tc>
          <w:tcPr>
            <w:tcW w:w="641" w:type="pct"/>
            <w:tcBorders>
              <w:top w:val="nil"/>
              <w:left w:val="nil"/>
              <w:bottom w:val="nil"/>
              <w:right w:val="nil"/>
            </w:tcBorders>
            <w:noWrap w:val="0"/>
            <w:vAlign w:val="center"/>
          </w:tcPr>
          <w:p>
            <w:pPr>
              <w:jc w:val="right"/>
              <w:rPr>
                <w:rFonts w:hint="eastAsia" w:ascii="宋体" w:hAnsi="宋体" w:eastAsia="宋体" w:cs="宋体"/>
                <w:b/>
                <w:bCs/>
                <w:color w:val="auto"/>
                <w:sz w:val="24"/>
                <w:highlight w:val="none"/>
                <w:shd w:val="clear" w:color="auto" w:fill="auto"/>
              </w:rPr>
            </w:pPr>
          </w:p>
        </w:tc>
      </w:tr>
      <w:tr>
        <w:tblPrEx>
          <w:tblCellMar>
            <w:top w:w="45" w:type="dxa"/>
            <w:left w:w="45" w:type="dxa"/>
            <w:bottom w:w="45" w:type="dxa"/>
            <w:right w:w="45" w:type="dxa"/>
          </w:tblCellMar>
        </w:tblPrEx>
        <w:trPr>
          <w:tblCellSpacing w:w="0" w:type="dxa"/>
          <w:jc w:val="center"/>
        </w:trPr>
        <w:tc>
          <w:tcPr>
            <w:tcW w:w="5000" w:type="pct"/>
            <w:gridSpan w:val="2"/>
            <w:tcBorders>
              <w:top w:val="nil"/>
              <w:left w:val="nil"/>
              <w:bottom w:val="nil"/>
              <w:right w:val="nil"/>
            </w:tcBorders>
            <w:noWrap w:val="0"/>
            <w:vAlign w:val="center"/>
          </w:tcPr>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20"/>
              <w:jc w:val="left"/>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综合评分法，是指投标文件满足招标文件全部实质性要求，且按照评审因素的量化指标评审得分最高的投标人为中标候选人的评标方法。</w:t>
            </w:r>
          </w:p>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20"/>
              <w:jc w:val="left"/>
              <w:textAlignment w:val="auto"/>
              <w:rPr>
                <w:rFonts w:hint="eastAsia" w:ascii="宋体" w:hAnsi="宋体" w:eastAsia="宋体" w:cs="宋体"/>
                <w:b/>
                <w:bCs/>
                <w:color w:val="auto"/>
                <w:sz w:val="24"/>
                <w:szCs w:val="24"/>
                <w:highlight w:val="none"/>
                <w:shd w:val="clear" w:color="auto" w:fill="auto"/>
              </w:rPr>
            </w:pPr>
            <w:r>
              <w:rPr>
                <w:rFonts w:hint="eastAsia" w:ascii="宋体" w:hAnsi="宋体" w:eastAsia="宋体" w:cs="宋体"/>
                <w:b/>
                <w:bCs/>
                <w:color w:val="auto"/>
                <w:sz w:val="24"/>
                <w:szCs w:val="24"/>
                <w:highlight w:val="none"/>
                <w:shd w:val="clear" w:color="auto" w:fill="auto"/>
              </w:rPr>
              <w:t>价格分计算方法：</w:t>
            </w:r>
          </w:p>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80" w:firstLineChars="200"/>
              <w:jc w:val="left"/>
              <w:textAlignment w:val="auto"/>
              <w:rPr>
                <w:rFonts w:hint="eastAsia" w:ascii="宋体" w:hAnsi="宋体" w:eastAsia="宋体" w:cs="宋体"/>
                <w:color w:val="auto"/>
                <w:sz w:val="24"/>
                <w:szCs w:val="24"/>
                <w:highlight w:val="none"/>
                <w:shd w:val="clear" w:color="auto" w:fill="auto"/>
                <w:lang w:eastAsia="zh-CN"/>
              </w:rPr>
            </w:pPr>
            <w:r>
              <w:rPr>
                <w:rFonts w:hint="eastAsia" w:ascii="宋体" w:hAnsi="宋体" w:eastAsia="宋体" w:cs="宋体"/>
                <w:color w:val="auto"/>
                <w:sz w:val="24"/>
                <w:szCs w:val="24"/>
                <w:highlight w:val="none"/>
                <w:shd w:val="clear" w:color="auto" w:fill="auto"/>
              </w:rPr>
              <w:t>采用低价优先法计算，即满足招标文件要求且投标价格最低的投标报价为评标基准价，其价格分为满分。其他投标人的价格分统一按照下列公式计算：</w:t>
            </w:r>
          </w:p>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80" w:firstLineChars="200"/>
              <w:jc w:val="left"/>
              <w:textAlignment w:val="auto"/>
              <w:rPr>
                <w:rFonts w:hint="eastAsia" w:ascii="宋体" w:hAnsi="宋体" w:eastAsia="宋体" w:cs="宋体"/>
                <w:color w:val="auto"/>
                <w:sz w:val="24"/>
                <w:szCs w:val="24"/>
                <w:highlight w:val="none"/>
                <w:shd w:val="clear" w:color="auto" w:fill="auto"/>
                <w:lang w:eastAsia="zh-CN"/>
              </w:rPr>
            </w:pPr>
            <w:r>
              <w:rPr>
                <w:rFonts w:hint="eastAsia" w:ascii="宋体" w:hAnsi="宋体" w:eastAsia="宋体" w:cs="宋体"/>
                <w:color w:val="auto"/>
                <w:sz w:val="24"/>
                <w:szCs w:val="24"/>
                <w:highlight w:val="none"/>
                <w:shd w:val="clear" w:color="auto" w:fill="auto"/>
              </w:rPr>
              <w:t>投标报价得分=(评标基准价／投标报价)×价格分值</w:t>
            </w:r>
          </w:p>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80" w:firstLineChars="200"/>
              <w:jc w:val="left"/>
              <w:textAlignment w:val="auto"/>
              <w:rPr>
                <w:rFonts w:hint="eastAsia" w:ascii="宋体" w:hAnsi="宋体" w:eastAsia="宋体" w:cs="宋体"/>
                <w:color w:val="auto"/>
                <w:sz w:val="24"/>
                <w:szCs w:val="24"/>
                <w:highlight w:val="none"/>
                <w:shd w:val="clear" w:color="auto" w:fill="auto"/>
                <w:lang w:eastAsia="zh-CN"/>
              </w:rPr>
            </w:pPr>
            <w:r>
              <w:rPr>
                <w:rFonts w:hint="eastAsia" w:ascii="宋体" w:hAnsi="宋体" w:eastAsia="宋体" w:cs="宋体"/>
                <w:color w:val="auto"/>
                <w:sz w:val="24"/>
                <w:szCs w:val="24"/>
                <w:highlight w:val="none"/>
                <w:shd w:val="clear" w:color="auto" w:fill="auto"/>
              </w:rPr>
              <w:t>评标过程中，不得去掉报价中的最高报价和最低报价。</w:t>
            </w:r>
          </w:p>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left="0" w:firstLine="420" w:firstLineChars="200"/>
              <w:jc w:val="left"/>
              <w:textAlignment w:val="auto"/>
              <w:rPr>
                <w:rFonts w:hint="eastAsia" w:ascii="宋体" w:hAnsi="宋体" w:eastAsia="宋体" w:cs="宋体"/>
                <w:color w:val="auto"/>
                <w:sz w:val="21"/>
                <w:szCs w:val="21"/>
                <w:highlight w:val="none"/>
                <w:shd w:val="clear" w:color="auto" w:fill="auto"/>
              </w:rPr>
            </w:pPr>
          </w:p>
        </w:tc>
      </w:tr>
      <w:tr>
        <w:tblPrEx>
          <w:tblCellMar>
            <w:top w:w="45" w:type="dxa"/>
            <w:left w:w="45" w:type="dxa"/>
            <w:bottom w:w="45" w:type="dxa"/>
            <w:right w:w="45" w:type="dxa"/>
          </w:tblCellMar>
        </w:tblPrEx>
        <w:trPr>
          <w:tblCellSpacing w:w="0" w:type="dxa"/>
          <w:jc w:val="center"/>
        </w:trPr>
        <w:tc>
          <w:tcPr>
            <w:tcW w:w="5000" w:type="pct"/>
            <w:gridSpan w:val="2"/>
            <w:tcBorders>
              <w:top w:val="nil"/>
              <w:left w:val="nil"/>
              <w:bottom w:val="nil"/>
              <w:right w:val="nil"/>
            </w:tcBorders>
            <w:noWrap w:val="0"/>
            <w:vAlign w:val="center"/>
          </w:tcPr>
          <w:tbl>
            <w:tblPr>
              <w:tblStyle w:val="14"/>
              <w:tblW w:w="9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1379"/>
              <w:gridCol w:w="506"/>
              <w:gridCol w:w="713"/>
              <w:gridCol w:w="6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序号</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评分项</w:t>
                  </w:r>
                </w:p>
              </w:tc>
              <w:tc>
                <w:tcPr>
                  <w:tcW w:w="7709" w:type="dxa"/>
                  <w:gridSpan w:val="3"/>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kern w:val="2"/>
                      <w:sz w:val="24"/>
                      <w:szCs w:val="24"/>
                      <w:lang w:val="en-US" w:eastAsia="zh-CN" w:bidi="ar-SA"/>
                    </w:rPr>
                    <w:t>一</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sz w:val="24"/>
                      <w:szCs w:val="24"/>
                    </w:rPr>
                    <w:t>价格</w:t>
                  </w:r>
                  <w:r>
                    <w:rPr>
                      <w:rFonts w:hint="eastAsia" w:ascii="仿宋_GB2312" w:hAnsi="仿宋_GB2312" w:eastAsia="仿宋_GB2312" w:cs="仿宋_GB2312"/>
                      <w:b/>
                      <w:bCs/>
                      <w:sz w:val="24"/>
                      <w:szCs w:val="24"/>
                      <w:lang w:eastAsia="zh-CN"/>
                    </w:rPr>
                    <w:t>部分</w:t>
                  </w:r>
                </w:p>
              </w:tc>
              <w:tc>
                <w:tcPr>
                  <w:tcW w:w="7709" w:type="dxa"/>
                  <w:gridSpan w:val="3"/>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sz w:val="24"/>
                      <w:szCs w:val="24"/>
                      <w:lang w:eastAsia="zh-CN"/>
                    </w:rPr>
                    <w:t>二</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sz w:val="24"/>
                      <w:szCs w:val="24"/>
                    </w:rPr>
                    <w:t>技术部分</w:t>
                  </w:r>
                </w:p>
              </w:tc>
              <w:tc>
                <w:tcPr>
                  <w:tcW w:w="7709" w:type="dxa"/>
                  <w:gridSpan w:val="3"/>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lang w:val="en-US" w:eastAsia="zh-CN"/>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序号</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评分因素</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权重</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评分方式</w:t>
                  </w:r>
                </w:p>
              </w:tc>
              <w:tc>
                <w:tcPr>
                  <w:tcW w:w="6490"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eastAsia="zh-CN" w:bidi="ar-SA"/>
                    </w:rPr>
                  </w:pPr>
                  <w:r>
                    <w:rPr>
                      <w:rFonts w:hint="eastAsia" w:ascii="仿宋_GB2312" w:hAnsi="仿宋_GB2312" w:eastAsia="仿宋_GB2312" w:cs="仿宋_GB2312"/>
                      <w:color w:val="auto"/>
                      <w:kern w:val="2"/>
                      <w:sz w:val="24"/>
                      <w:szCs w:val="24"/>
                      <w:lang w:eastAsia="zh-CN" w:bidi="ar-SA"/>
                    </w:rPr>
                    <w:t>项目实施方案及相关合理化建议</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12</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专家评分</w:t>
                  </w:r>
                </w:p>
              </w:tc>
              <w:tc>
                <w:tcPr>
                  <w:tcW w:w="6490" w:type="dxa"/>
                  <w:noWrap w:val="0"/>
                  <w:vAlign w:val="center"/>
                </w:tcPr>
                <w:p>
                  <w:pPr>
                    <w:keepNext w:val="0"/>
                    <w:keepLines w:val="0"/>
                    <w:pageBreakBefore w:val="0"/>
                    <w:numPr>
                      <w:ilvl w:val="0"/>
                      <w:numId w:val="1"/>
                    </w:numPr>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评审内容：</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kern w:val="2"/>
                      <w:sz w:val="24"/>
                      <w:szCs w:val="24"/>
                      <w:lang w:val="en-US" w:eastAsia="zh-CN" w:bidi="ar-SA"/>
                    </w:rPr>
                    <w:t>投标人提供的材料须包括：</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1）项目实施方案；</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2）项目进度计划；</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3）进度控制措施；</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4）相关合理化建议。</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2.评审标准：</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具备以上4项内容，如果全部满足得</w:t>
                  </w:r>
                  <w:r>
                    <w:rPr>
                      <w:rFonts w:hint="eastAsia" w:ascii="仿宋_GB2312" w:hAnsi="仿宋_GB2312" w:eastAsia="仿宋_GB2312" w:cs="仿宋_GB2312"/>
                      <w:color w:val="auto"/>
                      <w:kern w:val="2"/>
                      <w:sz w:val="24"/>
                      <w:szCs w:val="24"/>
                      <w:lang w:val="en-US" w:eastAsia="zh-CN"/>
                    </w:rPr>
                    <w:t>8</w:t>
                  </w:r>
                  <w:r>
                    <w:rPr>
                      <w:rFonts w:hint="eastAsia" w:ascii="仿宋_GB2312" w:hAnsi="仿宋_GB2312" w:eastAsia="仿宋_GB2312" w:cs="仿宋_GB2312"/>
                      <w:color w:val="auto"/>
                      <w:kern w:val="2"/>
                      <w:sz w:val="24"/>
                      <w:szCs w:val="24"/>
                      <w:lang w:eastAsia="zh-CN"/>
                    </w:rPr>
                    <w:t>分，满足任意3项得</w:t>
                  </w:r>
                  <w:r>
                    <w:rPr>
                      <w:rFonts w:hint="eastAsia" w:ascii="仿宋_GB2312" w:hAnsi="仿宋_GB2312" w:eastAsia="仿宋_GB2312" w:cs="仿宋_GB2312"/>
                      <w:color w:val="auto"/>
                      <w:kern w:val="2"/>
                      <w:sz w:val="24"/>
                      <w:szCs w:val="24"/>
                      <w:lang w:val="en-US" w:eastAsia="zh-CN"/>
                    </w:rPr>
                    <w:t>6</w:t>
                  </w:r>
                  <w:r>
                    <w:rPr>
                      <w:rFonts w:hint="eastAsia" w:ascii="仿宋_GB2312" w:hAnsi="仿宋_GB2312" w:eastAsia="仿宋_GB2312" w:cs="仿宋_GB2312"/>
                      <w:color w:val="auto"/>
                      <w:kern w:val="2"/>
                      <w:sz w:val="24"/>
                      <w:szCs w:val="24"/>
                      <w:lang w:eastAsia="zh-CN"/>
                    </w:rPr>
                    <w:t>分，满足任意2项得4分，满足任意1项得2分，未满足不得分。</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在此基础上，专家根据具体响应内容按照量化的评审因素指标进一步评审。</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1）项目实施方案：内容完整，涵盖施工工艺流程、施工方法、技术要点等，针对本项目（仓库消防设施安装修复）的现场实际情况有具体分析，方案切实可行的，评审为优，加</w:t>
                  </w:r>
                  <w:r>
                    <w:rPr>
                      <w:rFonts w:hint="eastAsia" w:ascii="仿宋_GB2312" w:hAnsi="仿宋_GB2312" w:eastAsia="仿宋_GB2312" w:cs="仿宋_GB2312"/>
                      <w:color w:val="auto"/>
                      <w:kern w:val="2"/>
                      <w:sz w:val="24"/>
                      <w:szCs w:val="24"/>
                      <w:lang w:val="en-US" w:eastAsia="zh-CN"/>
                    </w:rPr>
                    <w:t>1</w:t>
                  </w:r>
                  <w:r>
                    <w:rPr>
                      <w:rFonts w:hint="eastAsia" w:ascii="仿宋_GB2312" w:hAnsi="仿宋_GB2312" w:eastAsia="仿宋_GB2312" w:cs="仿宋_GB2312"/>
                      <w:color w:val="auto"/>
                      <w:kern w:val="2"/>
                      <w:sz w:val="24"/>
                      <w:szCs w:val="24"/>
                      <w:lang w:eastAsia="zh-CN"/>
                    </w:rPr>
                    <w:t>分；基本完整，有主要施工方法和流程描述，但缺乏对本项目现场条件的针对性分析的，评审为中，加0.5分；照搬通用模板，无本项目针对性内容，或方案明显不可行的，评审为差，不得分。</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2）项目进度计划：以横道图或网络图形式呈现，各工序时间节点清晰，与工期要求（30日）匹配，关键线路明确的，评审为优，加</w:t>
                  </w:r>
                  <w:r>
                    <w:rPr>
                      <w:rFonts w:hint="eastAsia" w:ascii="仿宋_GB2312" w:hAnsi="仿宋_GB2312" w:eastAsia="仿宋_GB2312" w:cs="仿宋_GB2312"/>
                      <w:color w:val="auto"/>
                      <w:kern w:val="2"/>
                      <w:sz w:val="24"/>
                      <w:szCs w:val="24"/>
                      <w:lang w:val="en-US" w:eastAsia="zh-CN"/>
                    </w:rPr>
                    <w:t>1</w:t>
                  </w:r>
                  <w:r>
                    <w:rPr>
                      <w:rFonts w:hint="eastAsia" w:ascii="仿宋_GB2312" w:hAnsi="仿宋_GB2312" w:eastAsia="仿宋_GB2312" w:cs="仿宋_GB2312"/>
                      <w:color w:val="auto"/>
                      <w:kern w:val="2"/>
                      <w:sz w:val="24"/>
                      <w:szCs w:val="24"/>
                      <w:lang w:eastAsia="zh-CN"/>
                    </w:rPr>
                    <w:t>分；以文字或简单表格形式呈现，主要工序时间节点基本合理，但与工期要求的对应关系不够明确的，评审为中，加0.5分；缺失或时间节点与工期要求严重冲突的，评审为差，不得分。</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3）进度控制措施：具体，包含人员安排、材料供应保障、工序衔接、延误应对预案等，可操作性强的，评审为优，加</w:t>
                  </w:r>
                  <w:r>
                    <w:rPr>
                      <w:rFonts w:hint="eastAsia" w:ascii="仿宋_GB2312" w:hAnsi="仿宋_GB2312" w:eastAsia="仿宋_GB2312" w:cs="仿宋_GB2312"/>
                      <w:color w:val="auto"/>
                      <w:kern w:val="2"/>
                      <w:sz w:val="24"/>
                      <w:szCs w:val="24"/>
                      <w:lang w:val="en-US" w:eastAsia="zh-CN"/>
                    </w:rPr>
                    <w:t>1</w:t>
                  </w:r>
                  <w:r>
                    <w:rPr>
                      <w:rFonts w:hint="eastAsia" w:ascii="仿宋_GB2312" w:hAnsi="仿宋_GB2312" w:eastAsia="仿宋_GB2312" w:cs="仿宋_GB2312"/>
                      <w:color w:val="auto"/>
                      <w:kern w:val="2"/>
                      <w:sz w:val="24"/>
                      <w:szCs w:val="24"/>
                      <w:lang w:eastAsia="zh-CN"/>
                    </w:rPr>
                    <w:t>分；有基本安排，但内容较笼统，缺乏具体的应对预案的，评审为中，加0.5分；缺失或仅有原则性表述，无可操作性的，评审为差，不得分。</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eastAsia="zh-CN"/>
                    </w:rPr>
                    <w:t>4）相关合理化建议：不少于2条，且紧密结合本项目特点，具有实际参考价值（如优化管线走向、减少施工对仓库运营的影响等）的，评审为优，加</w:t>
                  </w:r>
                  <w:r>
                    <w:rPr>
                      <w:rFonts w:hint="eastAsia" w:ascii="仿宋_GB2312" w:hAnsi="仿宋_GB2312" w:eastAsia="仿宋_GB2312" w:cs="仿宋_GB2312"/>
                      <w:color w:val="auto"/>
                      <w:kern w:val="2"/>
                      <w:sz w:val="24"/>
                      <w:szCs w:val="24"/>
                      <w:lang w:val="en-US" w:eastAsia="zh-CN"/>
                    </w:rPr>
                    <w:t>1</w:t>
                  </w:r>
                  <w:r>
                    <w:rPr>
                      <w:rFonts w:hint="eastAsia" w:ascii="仿宋_GB2312" w:hAnsi="仿宋_GB2312" w:eastAsia="仿宋_GB2312" w:cs="仿宋_GB2312"/>
                      <w:color w:val="auto"/>
                      <w:kern w:val="2"/>
                      <w:sz w:val="24"/>
                      <w:szCs w:val="24"/>
                      <w:lang w:eastAsia="zh-CN"/>
                    </w:rPr>
                    <w:t>分；1条，有一定参考价值但针对性一般的，评审为中，加0.5分；无合理化建议或建议与本项目无关的，评审为差，不得分。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项目重点难点分析及合理化建议</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12</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专家评分</w:t>
                  </w:r>
                </w:p>
              </w:tc>
              <w:tc>
                <w:tcPr>
                  <w:tcW w:w="6490" w:type="dxa"/>
                  <w:noWrap w:val="0"/>
                  <w:vAlign w:val="center"/>
                </w:tcPr>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1.评审内容：</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投标人提供的材料须包括：</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1）全面分析符合本项目相关重点难点；</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2）有针对性的提出重点难点的应对措施。</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2.评审标准：</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项目重点难点分析及应对措施具备以上2项内容，如果全部满足得8分，满足任意1项得4分，未满足不得分。</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在此基础上，评审组根据具体响应内容按照量化的评审因素指标进一步评审。</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1）重点难点分析：准确全面，紧密结合本项目（中心仓库消防设施安装修复）的实际情况，至少识别出2个及以上关键重点难点（例如：与现有施工项目交叉作业的安全协调、原有消防管线的检测与接驳、烟感器及喷淋头安装位置的布局优化、配管敷设路径受限或需穿越既有结构等），评审为优，加2分；基本合理，能识别本项目的主要难点（至少1个），但分析深度一般，部分内容与本项目现场实际情况结合不够紧密，评审为中，加1分；照搬通用模板，未结合本项目特点，或识别的难点与本项目实际情况明显不符，评审为差，不得分。</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eastAsia="zh-CN"/>
                    </w:rPr>
                    <w:t>2）应对措施：针对性强，对每个识别出的重点难点均有具体、可操作的解决方案，技术路线清晰，责任分工明确，时间安排合理，评审为优，加2分；有基本思路，但部分措施缺乏可操作性或针对性不足，未做到逐条对应所分析的重点难点，评审为中，加1分；缺失，或仅有原则性表述（如加强管理、严格把关等），无可执行性，评审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3</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服务质量（安全、环保）保障措施</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10</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专家评分</w:t>
                  </w:r>
                </w:p>
              </w:tc>
              <w:tc>
                <w:tcPr>
                  <w:tcW w:w="6490" w:type="dxa"/>
                  <w:noWrap w:val="0"/>
                  <w:vAlign w:val="center"/>
                </w:tcPr>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1.评审内容：</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投标人提供的材料须包括：</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1）项目质量管理；</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2）项目安全管理；</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3）项目环保管理。</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2.评审标准：</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具备以上3项内容，如果全部满足得6分，满足任意2项得4分，满足任意1项得2分，未满足不得分。</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在此基础上，评审组根据具体响应内容按照量化的评审因素指标进一步评审。</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1）项目质量管理：建立完整的质量保证体系，明确质量目标（如一次性验收合格），涵盖材料进场检验、隐蔽工程验收、工序交接检查、竣工自检等关键环节，责任落实到人，且有质量通病预防措施（如配管连接密封性、烟感器地址编码准确性、喷淋头安装间距及垂直度等针对性控制要点）的，评审为优，加1.5分；有基本的质量管理安排，能覆盖主要工序的检验要求，但缺乏针对性的质量控制要点或责任分工不够明确的，评审为中，加1分；仅提供通用质量承诺，无具体管理措施，或内容与本项目无关的，评审为差，不得分。</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2）项目安全管理：制定专项安全施工方案，针对本项目涉及的电工作业、高处作业、动火作业（如有）等危险工序有明确的安全防护措施，有现场安全检查制度、安全教育培训安排及应急预案，且充分考虑仓库环境（如货物堆放区防火隔离、施工用电与仓库既有线路的安全距离等）的，评审为优，加1.5分；有安全管理的基本内容，包含一般性安全措施和注意事项，但缺乏针对本项目特点的危险源识别和专项防护方案的，评审为中，加1分；缺失安全管理内容，或仅有“确保安全”等原则性表述，无可操作性的，评审为差，不得分。</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eastAsia="zh-CN"/>
                    </w:rPr>
                    <w:t>3）项目环保管理：有具体的文明施工及环境保护措施，包括施工废弃物分类收集与清运、减少施工噪音及粉尘对仓库环境的影响、材料包装物回收等，措施切实可行的，评审为优，加1分；有简单的环保或文明施工承诺，但措施较笼统，缺乏具体执行方式的，评审为中，加0.5分；未提供环保管理内容，或内容完全照搬模板、与本项目现场条件无关的，评审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4</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拟采用设备（材料）的性能（节能环保情况）及质量可靠性</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9</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专家评分</w:t>
                  </w:r>
                </w:p>
              </w:tc>
              <w:tc>
                <w:tcPr>
                  <w:tcW w:w="6490" w:type="dxa"/>
                  <w:noWrap w:val="0"/>
                  <w:vAlign w:val="center"/>
                </w:tcPr>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val="en-US" w:eastAsia="zh-CN"/>
                    </w:rPr>
                    <w:t>1.</w:t>
                  </w:r>
                  <w:r>
                    <w:rPr>
                      <w:rFonts w:hint="eastAsia" w:ascii="仿宋_GB2312" w:hAnsi="仿宋_GB2312" w:eastAsia="仿宋_GB2312" w:cs="仿宋_GB2312"/>
                      <w:color w:val="auto"/>
                      <w:kern w:val="2"/>
                      <w:sz w:val="24"/>
                      <w:szCs w:val="24"/>
                      <w:lang w:eastAsia="zh-CN"/>
                    </w:rPr>
                    <w:t>评审内容：</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投标人提供的材料须包括：</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1）主要材料设备选型及技术参数；</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2）质量保证措施；</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3）供货及投入计划。</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2.评审标准：</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具备以上3项内容，如果全部满足得6分，满足任意2项得4分，满足任意1项得</w:t>
                  </w:r>
                  <w:r>
                    <w:rPr>
                      <w:rFonts w:hint="eastAsia" w:ascii="仿宋_GB2312" w:hAnsi="仿宋_GB2312" w:eastAsia="仿宋_GB2312" w:cs="仿宋_GB2312"/>
                      <w:color w:val="auto"/>
                      <w:kern w:val="2"/>
                      <w:sz w:val="24"/>
                      <w:szCs w:val="24"/>
                      <w:lang w:val="en-US" w:eastAsia="zh-CN"/>
                    </w:rPr>
                    <w:t>2</w:t>
                  </w:r>
                  <w:r>
                    <w:rPr>
                      <w:rFonts w:hint="eastAsia" w:ascii="仿宋_GB2312" w:hAnsi="仿宋_GB2312" w:eastAsia="仿宋_GB2312" w:cs="仿宋_GB2312"/>
                      <w:color w:val="auto"/>
                      <w:kern w:val="2"/>
                      <w:sz w:val="24"/>
                      <w:szCs w:val="24"/>
                      <w:lang w:eastAsia="zh-CN"/>
                    </w:rPr>
                    <w:t>分，未满足不得分。</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在此基础上，评审组根据具体响应内容按照量化的评审因素指标进一步评审。</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1）主要材料设备选型及技术参数：列明拟采用的烟感探测器、喷淋头、配管等主要材料的品牌、规格型号、技术参数，说明是否匹配大楼现有消防主机，是否满足国家消防产品标准及项目设计要求。提供产品合格证或消防产品认证证书（CCCF认证）的，评审为优，加1分；提供部分资料但不全的，评审为中，加</w:t>
                  </w:r>
                  <w:r>
                    <w:rPr>
                      <w:rFonts w:hint="eastAsia" w:ascii="仿宋_GB2312" w:hAnsi="仿宋_GB2312" w:eastAsia="仿宋_GB2312" w:cs="仿宋_GB2312"/>
                      <w:color w:val="auto"/>
                      <w:kern w:val="2"/>
                      <w:sz w:val="24"/>
                      <w:szCs w:val="24"/>
                      <w:lang w:val="en-US" w:eastAsia="zh-CN"/>
                    </w:rPr>
                    <w:t>0.5</w:t>
                  </w:r>
                  <w:r>
                    <w:rPr>
                      <w:rFonts w:hint="eastAsia" w:ascii="仿宋_GB2312" w:hAnsi="仿宋_GB2312" w:eastAsia="仿宋_GB2312" w:cs="仿宋_GB2312"/>
                      <w:color w:val="auto"/>
                      <w:kern w:val="2"/>
                      <w:sz w:val="24"/>
                      <w:szCs w:val="24"/>
                      <w:lang w:eastAsia="zh-CN"/>
                    </w:rPr>
                    <w:t>分；未提供或参数明显不满足要求的，评审为差，不得分。</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2）质量保证措施：说明主要材料的采购来源、进场检验、运输保管等质量管控安排。内容完整合理、针对性强的，评审为优，加1分；内容基本完整但较笼统的，评审为中，加0.5分；内容简单或缺失的，评审为差，不得分。</w:t>
                  </w:r>
                </w:p>
                <w:p>
                  <w:pPr>
                    <w:keepNext w:val="0"/>
                    <w:keepLines w:val="0"/>
                    <w:pageBreakBefore w:val="0"/>
                    <w:kinsoku/>
                    <w:wordWrap w:val="0"/>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eastAsia="zh-CN"/>
                    </w:rPr>
                    <w:t>3）供货及投入计划：列明设备材料的采购周期、到货时间节点、与施工进度的衔接安排。计划合理、能保证工期需求的，评审为优，加1分；计划基本合理但不够详细的，评审为中，加0.5分；未提供或明显不可行的，评审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5</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应急方案</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5</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专家评分</w:t>
                  </w:r>
                </w:p>
              </w:tc>
              <w:tc>
                <w:tcPr>
                  <w:tcW w:w="6490" w:type="dxa"/>
                  <w:noWrap w:val="0"/>
                  <w:vAlign w:val="center"/>
                </w:tcPr>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1.评审内容：</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投标人提供的材料须包括：</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（1）应急响应时间；</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（2）应急预案。</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2.评审标准：</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具备以上2项内容，如果全部满足得3分，满足任意一项得1.5分，未满足不得分。</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在此基础上，评审组根据具体响应内容按照量化的评审因素指标进一步评审。</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eastAsia="zh-CN"/>
                    </w:rPr>
                  </w:pPr>
                  <w:r>
                    <w:rPr>
                      <w:rFonts w:hint="eastAsia" w:ascii="仿宋_GB2312" w:hAnsi="仿宋_GB2312" w:eastAsia="仿宋_GB2312" w:cs="仿宋_GB2312"/>
                      <w:color w:val="auto"/>
                      <w:kern w:val="2"/>
                      <w:sz w:val="24"/>
                      <w:szCs w:val="24"/>
                      <w:lang w:eastAsia="zh-CN"/>
                    </w:rPr>
                    <w:t>1）应急响应时间：明确承诺接到通知后到达现场的具体时限（如几小时内响应、几小时内到场），且时间要求合理可行的，评审为优，加1分；响应时间基本明确但时限偏长或表述模糊的，评审为中，加0</w:t>
                  </w:r>
                  <w:r>
                    <w:rPr>
                      <w:rFonts w:hint="eastAsia" w:ascii="仿宋_GB2312" w:hAnsi="仿宋_GB2312" w:eastAsia="仿宋_GB2312" w:cs="仿宋_GB2312"/>
                      <w:color w:val="auto"/>
                      <w:kern w:val="2"/>
                      <w:sz w:val="24"/>
                      <w:szCs w:val="24"/>
                      <w:lang w:val="en-US" w:eastAsia="zh-CN"/>
                    </w:rPr>
                    <w:t>.5</w:t>
                  </w:r>
                  <w:r>
                    <w:rPr>
                      <w:rFonts w:hint="eastAsia" w:ascii="仿宋_GB2312" w:hAnsi="仿宋_GB2312" w:eastAsia="仿宋_GB2312" w:cs="仿宋_GB2312"/>
                      <w:color w:val="auto"/>
                      <w:kern w:val="2"/>
                      <w:sz w:val="24"/>
                      <w:szCs w:val="24"/>
                      <w:lang w:eastAsia="zh-CN"/>
                    </w:rPr>
                    <w:t>分；未明确响应时间或承诺明显不可行的，评审为差，不得分。</w:t>
                  </w:r>
                </w:p>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eastAsia="zh-CN"/>
                    </w:rPr>
                    <w:t>2）应急预案：内容完整，且针对本项目（中心仓库消防设施安装修复）可能发生的突发情况（如施工期间误触发烟感报警、喷淋管道试压漏水等）有具体应对措施，评审为优，加1分；有主要内容但较简单，缺乏针对本项目特点的专项处置措施，或部分要素缺失的，评审为中，加</w:t>
                  </w:r>
                  <w:r>
                    <w:rPr>
                      <w:rFonts w:hint="eastAsia" w:ascii="仿宋_GB2312" w:hAnsi="仿宋_GB2312" w:eastAsia="仿宋_GB2312" w:cs="仿宋_GB2312"/>
                      <w:color w:val="auto"/>
                      <w:kern w:val="2"/>
                      <w:sz w:val="24"/>
                      <w:szCs w:val="24"/>
                      <w:lang w:val="en-US" w:eastAsia="zh-CN"/>
                    </w:rPr>
                    <w:t>0.5</w:t>
                  </w:r>
                  <w:r>
                    <w:rPr>
                      <w:rFonts w:hint="eastAsia" w:ascii="仿宋_GB2312" w:hAnsi="仿宋_GB2312" w:eastAsia="仿宋_GB2312" w:cs="仿宋_GB2312"/>
                      <w:color w:val="auto"/>
                      <w:kern w:val="2"/>
                      <w:sz w:val="24"/>
                      <w:szCs w:val="24"/>
                      <w:lang w:eastAsia="zh-CN"/>
                    </w:rPr>
                    <w:t>分；缺失或仅有原则性表述（如及时处理、立即抢修等），无可执行性的，评审为差，不得分。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6</w:t>
                  </w:r>
                </w:p>
              </w:tc>
              <w:tc>
                <w:tcPr>
                  <w:tcW w:w="1379"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kern w:val="0"/>
                      <w:sz w:val="24"/>
                      <w:szCs w:val="24"/>
                      <w:lang w:val="en-US" w:eastAsia="zh-CN" w:bidi="ar"/>
                    </w:rPr>
                    <w:t>项目承诺</w:t>
                  </w:r>
                </w:p>
              </w:tc>
              <w:tc>
                <w:tcPr>
                  <w:tcW w:w="506"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kern w:val="0"/>
                      <w:sz w:val="24"/>
                      <w:szCs w:val="24"/>
                      <w:lang w:val="en-US" w:eastAsia="zh-CN" w:bidi="ar"/>
                    </w:rPr>
                    <w:t>5</w:t>
                  </w:r>
                </w:p>
              </w:tc>
              <w:tc>
                <w:tcPr>
                  <w:tcW w:w="713"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kern w:val="0"/>
                      <w:sz w:val="24"/>
                      <w:szCs w:val="24"/>
                      <w:lang w:val="en-US" w:eastAsia="zh-CN" w:bidi="ar"/>
                    </w:rPr>
                    <w:t>专家评分</w:t>
                  </w:r>
                </w:p>
              </w:tc>
              <w:tc>
                <w:tcPr>
                  <w:tcW w:w="6490" w:type="dxa"/>
                  <w:noWrap w:val="0"/>
                  <w:vAlign w:val="top"/>
                </w:tcPr>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lang w:eastAsia="zh-CN" w:bidi="ar"/>
                    </w:rPr>
                  </w:pPr>
                  <w:r>
                    <w:rPr>
                      <w:rFonts w:hint="eastAsia" w:ascii="仿宋_GB2312" w:hAnsi="仿宋_GB2312" w:eastAsia="仿宋_GB2312" w:cs="仿宋_GB2312"/>
                      <w:sz w:val="24"/>
                      <w:szCs w:val="24"/>
                      <w:lang w:eastAsia="zh-CN" w:bidi="ar"/>
                    </w:rPr>
                    <w:t>1</w:t>
                  </w:r>
                  <w:r>
                    <w:rPr>
                      <w:rFonts w:hint="eastAsia" w:ascii="仿宋_GB2312" w:hAnsi="仿宋_GB2312" w:eastAsia="仿宋_GB2312" w:cs="仿宋_GB2312"/>
                      <w:sz w:val="24"/>
                      <w:szCs w:val="24"/>
                      <w:lang w:val="en-US" w:eastAsia="zh-CN" w:bidi="ar"/>
                    </w:rPr>
                    <w:t>.</w:t>
                  </w:r>
                  <w:r>
                    <w:rPr>
                      <w:rFonts w:hint="eastAsia" w:ascii="仿宋_GB2312" w:hAnsi="仿宋_GB2312" w:eastAsia="仿宋_GB2312" w:cs="仿宋_GB2312"/>
                      <w:sz w:val="24"/>
                      <w:szCs w:val="24"/>
                      <w:lang w:eastAsia="zh-CN" w:bidi="ar"/>
                    </w:rPr>
                    <w:t>评审内容</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lang w:eastAsia="zh-CN" w:bidi="ar"/>
                    </w:rPr>
                  </w:pPr>
                  <w:r>
                    <w:rPr>
                      <w:rFonts w:hint="eastAsia" w:ascii="仿宋_GB2312" w:hAnsi="仿宋_GB2312" w:eastAsia="仿宋_GB2312" w:cs="仿宋_GB2312"/>
                      <w:sz w:val="24"/>
                      <w:szCs w:val="24"/>
                      <w:lang w:eastAsia="zh-CN" w:bidi="ar"/>
                    </w:rPr>
                    <w:t>投标人须提供项目完成（服务期满）后的服务承诺，内容包括但不限于：</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lang w:eastAsia="zh-CN" w:bidi="ar"/>
                    </w:rPr>
                  </w:pPr>
                  <w:r>
                    <w:rPr>
                      <w:rFonts w:hint="eastAsia" w:ascii="仿宋_GB2312" w:hAnsi="仿宋_GB2312" w:eastAsia="仿宋_GB2312" w:cs="仿宋_GB2312"/>
                      <w:sz w:val="24"/>
                      <w:szCs w:val="24"/>
                      <w:lang w:eastAsia="zh-CN" w:bidi="ar"/>
                    </w:rPr>
                    <w:t>1）承诺中标后严格履行合同及采购文件约定的全部服务内容；</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lang w:eastAsia="zh-CN" w:bidi="ar"/>
                    </w:rPr>
                  </w:pPr>
                  <w:r>
                    <w:rPr>
                      <w:rFonts w:hint="eastAsia" w:ascii="仿宋_GB2312" w:hAnsi="仿宋_GB2312" w:eastAsia="仿宋_GB2312" w:cs="仿宋_GB2312"/>
                      <w:sz w:val="24"/>
                      <w:szCs w:val="24"/>
                      <w:lang w:eastAsia="zh-CN" w:bidi="ar"/>
                    </w:rPr>
                    <w:t>2）承诺项目验收后，采购人如有问题需要咨询，提供免费的技术咨询服务；</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lang w:eastAsia="zh-CN" w:bidi="ar"/>
                    </w:rPr>
                  </w:pPr>
                  <w:r>
                    <w:rPr>
                      <w:rFonts w:hint="eastAsia" w:ascii="仿宋_GB2312" w:hAnsi="仿宋_GB2312" w:eastAsia="仿宋_GB2312" w:cs="仿宋_GB2312"/>
                      <w:sz w:val="24"/>
                      <w:szCs w:val="24"/>
                      <w:lang w:eastAsia="zh-CN" w:bidi="ar"/>
                    </w:rPr>
                    <w:t>3）承诺提供明确的售后响应方式（如响应时限、联系渠道、服务期限等）。</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lang w:eastAsia="zh-CN" w:bidi="ar"/>
                    </w:rPr>
                  </w:pPr>
                  <w:r>
                    <w:rPr>
                      <w:rFonts w:hint="eastAsia" w:ascii="仿宋_GB2312" w:hAnsi="仿宋_GB2312" w:eastAsia="仿宋_GB2312" w:cs="仿宋_GB2312"/>
                      <w:sz w:val="24"/>
                      <w:szCs w:val="24"/>
                      <w:lang w:eastAsia="zh-CN" w:bidi="ar"/>
                    </w:rPr>
                    <w:t>（二）评审标准</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lang w:eastAsia="zh-CN" w:bidi="ar"/>
                    </w:rPr>
                  </w:pPr>
                  <w:r>
                    <w:rPr>
                      <w:rFonts w:hint="eastAsia" w:ascii="仿宋_GB2312" w:hAnsi="仿宋_GB2312" w:eastAsia="仿宋_GB2312" w:cs="仿宋_GB2312"/>
                      <w:sz w:val="24"/>
                      <w:szCs w:val="24"/>
                      <w:lang w:eastAsia="zh-CN" w:bidi="ar"/>
                    </w:rPr>
                    <w:t>专家根据投标人响应内容的完整性和具体程度进行评审：</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lang w:eastAsia="zh-CN" w:bidi="ar"/>
                    </w:rPr>
                  </w:pPr>
                  <w:r>
                    <w:rPr>
                      <w:rFonts w:hint="eastAsia" w:ascii="仿宋_GB2312" w:hAnsi="仿宋_GB2312" w:eastAsia="仿宋_GB2312" w:cs="仿宋_GB2312"/>
                      <w:sz w:val="24"/>
                      <w:szCs w:val="24"/>
                      <w:lang w:eastAsia="zh-CN" w:bidi="ar"/>
                    </w:rPr>
                    <w:t>1）三项内容均提供，且售后响应方式具体明确（如明确售后联系人、响应时限、服务期限等），得5分；</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lang w:eastAsia="zh-CN" w:bidi="ar"/>
                    </w:rPr>
                  </w:pPr>
                  <w:r>
                    <w:rPr>
                      <w:rFonts w:hint="eastAsia" w:ascii="仿宋_GB2312" w:hAnsi="仿宋_GB2312" w:eastAsia="仿宋_GB2312" w:cs="仿宋_GB2312"/>
                      <w:sz w:val="24"/>
                      <w:szCs w:val="24"/>
                      <w:lang w:eastAsia="zh-CN" w:bidi="ar"/>
                    </w:rPr>
                    <w:t>2）三项内容均提供，但售后响应方式表述较简单，缺乏具体执行细节的，得3分；</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lang w:eastAsia="zh-CN" w:bidi="ar"/>
                    </w:rPr>
                  </w:pPr>
                  <w:r>
                    <w:rPr>
                      <w:rFonts w:hint="eastAsia" w:ascii="仿宋_GB2312" w:hAnsi="仿宋_GB2312" w:eastAsia="仿宋_GB2312" w:cs="仿宋_GB2312"/>
                      <w:sz w:val="24"/>
                      <w:szCs w:val="24"/>
                      <w:lang w:eastAsia="zh-CN" w:bidi="ar"/>
                    </w:rPr>
                    <w:t>3）仅提供部分内容，或承诺表述笼统、缺乏可操作性的，得1分；</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sz w:val="24"/>
                      <w:szCs w:val="24"/>
                      <w:lang w:eastAsia="zh-CN" w:bidi="ar"/>
                    </w:rPr>
                    <w:t>4）未提供或内容与本项目无关的，得0分。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color w:val="000000"/>
                      <w:kern w:val="0"/>
                      <w:sz w:val="24"/>
                      <w:szCs w:val="24"/>
                      <w:lang w:val="en-US" w:eastAsia="zh-CN" w:bidi="ar-SA"/>
                    </w:rPr>
                  </w:pPr>
                  <w:r>
                    <w:rPr>
                      <w:rFonts w:hint="eastAsia" w:ascii="仿宋_GB2312" w:hAnsi="仿宋_GB2312" w:eastAsia="仿宋_GB2312" w:cs="仿宋_GB2312"/>
                      <w:b/>
                      <w:bCs/>
                      <w:color w:val="000000"/>
                      <w:kern w:val="0"/>
                      <w:sz w:val="24"/>
                      <w:szCs w:val="24"/>
                      <w:lang w:val="en-US" w:eastAsia="zh-CN" w:bidi="ar-SA"/>
                    </w:rPr>
                    <w:t>三</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color w:val="000000"/>
                      <w:kern w:val="0"/>
                      <w:sz w:val="24"/>
                      <w:szCs w:val="24"/>
                      <w:lang w:val="en-US" w:eastAsia="zh-CN" w:bidi="ar-SA"/>
                    </w:rPr>
                  </w:pPr>
                  <w:r>
                    <w:rPr>
                      <w:rFonts w:hint="eastAsia" w:ascii="仿宋_GB2312" w:hAnsi="仿宋_GB2312" w:eastAsia="仿宋_GB2312" w:cs="仿宋_GB2312"/>
                      <w:b/>
                      <w:bCs/>
                      <w:color w:val="000000"/>
                      <w:kern w:val="0"/>
                      <w:sz w:val="24"/>
                      <w:szCs w:val="24"/>
                      <w:lang w:val="en-US" w:eastAsia="zh-CN" w:bidi="ar-SA"/>
                    </w:rPr>
                    <w:t>商务部分</w:t>
                  </w:r>
                </w:p>
              </w:tc>
              <w:tc>
                <w:tcPr>
                  <w:tcW w:w="7709" w:type="dxa"/>
                  <w:gridSpan w:val="3"/>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sz w:val="24"/>
                      <w:szCs w:val="24"/>
                      <w:lang w:val="en-US" w:eastAsia="zh-CN"/>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sz w:val="24"/>
                      <w:szCs w:val="24"/>
                    </w:rPr>
                    <w:t>序号</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sz w:val="24"/>
                      <w:szCs w:val="24"/>
                    </w:rPr>
                    <w:t>评分因素</w:t>
                  </w:r>
                </w:p>
              </w:tc>
              <w:tc>
                <w:tcPr>
                  <w:tcW w:w="506"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sz w:val="24"/>
                      <w:szCs w:val="24"/>
                    </w:rPr>
                    <w:t>权重</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sz w:val="24"/>
                      <w:szCs w:val="24"/>
                    </w:rPr>
                    <w:t>评分方式</w:t>
                  </w:r>
                </w:p>
              </w:tc>
              <w:tc>
                <w:tcPr>
                  <w:tcW w:w="6490"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sz w:val="24"/>
                      <w:szCs w:val="24"/>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379" w:type="dxa"/>
                  <w:noWrap w:val="0"/>
                  <w:vAlign w:val="center"/>
                </w:tcPr>
                <w:p>
                  <w:pPr>
                    <w:spacing w:line="500" w:lineRule="exac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kern w:val="0"/>
                      <w:sz w:val="24"/>
                      <w:szCs w:val="24"/>
                      <w:lang w:bidi="ar"/>
                    </w:rPr>
                    <w:t>同类项目</w:t>
                  </w:r>
                  <w:r>
                    <w:rPr>
                      <w:rFonts w:hint="default" w:ascii="仿宋_GB2312" w:hAnsi="仿宋_GB2312" w:eastAsia="仿宋_GB2312" w:cs="仿宋_GB2312"/>
                      <w:color w:val="auto"/>
                      <w:kern w:val="0"/>
                      <w:sz w:val="24"/>
                      <w:szCs w:val="24"/>
                      <w:lang w:bidi="ar"/>
                    </w:rPr>
                    <w:t>业绩情</w:t>
                  </w:r>
                  <w:r>
                    <w:rPr>
                      <w:rFonts w:hint="eastAsia" w:ascii="仿宋_GB2312" w:hAnsi="仿宋_GB2312" w:eastAsia="仿宋_GB2312" w:cs="仿宋_GB2312"/>
                      <w:color w:val="auto"/>
                      <w:sz w:val="24"/>
                      <w:szCs w:val="24"/>
                    </w:rPr>
                    <w:t>况</w:t>
                  </w:r>
                </w:p>
              </w:tc>
              <w:tc>
                <w:tcPr>
                  <w:tcW w:w="506" w:type="dxa"/>
                  <w:noWrap w:val="0"/>
                  <w:vAlign w:val="center"/>
                </w:tcPr>
                <w:p>
                  <w:pPr>
                    <w:keepNext w:val="0"/>
                    <w:keepLines w:val="0"/>
                    <w:pageBreakBefore w:val="0"/>
                    <w:widowControl/>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i w:val="0"/>
                      <w:iCs w:val="0"/>
                      <w:caps w:val="0"/>
                      <w:color w:val="0F1115"/>
                      <w:spacing w:val="0"/>
                      <w:kern w:val="0"/>
                      <w:sz w:val="24"/>
                      <w:szCs w:val="24"/>
                      <w:shd w:val="clear" w:color="auto" w:fill="FFFFFF"/>
                      <w:lang w:val="en-US" w:eastAsia="zh-CN" w:bidi="ar"/>
                    </w:rPr>
                    <w:t>12</w:t>
                  </w:r>
                </w:p>
              </w:tc>
              <w:tc>
                <w:tcPr>
                  <w:tcW w:w="713" w:type="dxa"/>
                  <w:noWrap w:val="0"/>
                  <w:vAlign w:val="center"/>
                </w:tcPr>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2"/>
                      <w:sz w:val="24"/>
                      <w:szCs w:val="24"/>
                      <w:lang w:val="en-US" w:eastAsia="zh-CN" w:bidi="ar-SA"/>
                    </w:rPr>
                    <w:t>专家评分</w:t>
                  </w:r>
                </w:p>
              </w:tc>
              <w:tc>
                <w:tcPr>
                  <w:tcW w:w="6490" w:type="dxa"/>
                  <w:noWrap w:val="0"/>
                  <w:vAlign w:val="top"/>
                </w:tcPr>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Style w:val="16"/>
                      <w:rFonts w:hint="eastAsia" w:ascii="仿宋_GB2312" w:hAnsi="仿宋_GB2312" w:eastAsia="仿宋_GB2312" w:cs="仿宋_GB2312"/>
                      <w:kern w:val="0"/>
                      <w:sz w:val="24"/>
                      <w:szCs w:val="24"/>
                      <w:lang w:val="en-US" w:eastAsia="zh-CN" w:bidi="ar"/>
                    </w:rPr>
                    <w:t>1.评审内容</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自2023年1月1日（以合同签订日期为准）以来，投标人承接过消防安全隐患整改或消防设施维修改造项目，每提供1个有效业绩得3分，本项最高得12分。</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Style w:val="16"/>
                      <w:rFonts w:hint="eastAsia" w:ascii="仿宋_GB2312" w:hAnsi="仿宋_GB2312" w:eastAsia="仿宋_GB2312" w:cs="仿宋_GB2312"/>
                      <w:kern w:val="0"/>
                      <w:sz w:val="24"/>
                      <w:szCs w:val="24"/>
                      <w:lang w:val="en-US" w:eastAsia="zh-CN" w:bidi="ar"/>
                    </w:rPr>
                    <w:t>2.评审标准</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lang w:eastAsia="zh-CN"/>
                    </w:rPr>
                  </w:pPr>
                  <w:r>
                    <w:rPr>
                      <w:rFonts w:hint="eastAsia" w:ascii="仿宋_GB2312" w:hAnsi="仿宋_GB2312" w:eastAsia="仿宋_GB2312" w:cs="仿宋_GB2312"/>
                      <w:kern w:val="0"/>
                      <w:sz w:val="24"/>
                      <w:szCs w:val="24"/>
                      <w:lang w:val="en-US" w:eastAsia="zh-CN" w:bidi="ar"/>
                    </w:rPr>
                    <w:t>须提供合同关键信息页复印件，需清晰体现项目名称、项目内容、合同甲乙双方、签订时间等关键信息。评分中出现无证明资料或专家无法凭所提供资料判断是否得分的情况，一律作不得分处理。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379" w:type="dxa"/>
                  <w:noWrap w:val="0"/>
                  <w:vAlign w:val="center"/>
                </w:tcPr>
                <w:p>
                  <w:pPr>
                    <w:spacing w:line="500" w:lineRule="exact"/>
                    <w:jc w:val="both"/>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kern w:val="0"/>
                      <w:sz w:val="24"/>
                      <w:szCs w:val="24"/>
                      <w:lang w:val="en-US" w:eastAsia="zh-CN" w:bidi="ar"/>
                    </w:rPr>
                    <w:t>技术团队配置</w:t>
                  </w:r>
                </w:p>
              </w:tc>
              <w:tc>
                <w:tcPr>
                  <w:tcW w:w="506"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hint="default" w:ascii="仿宋_GB2312" w:hAnsi="仿宋_GB2312" w:eastAsia="仿宋_GB2312" w:cs="仿宋_GB2312"/>
                      <w:color w:val="auto"/>
                      <w:sz w:val="24"/>
                      <w:szCs w:val="24"/>
                      <w:lang w:eastAsia="zh-CN"/>
                    </w:rPr>
                  </w:pPr>
                  <w:r>
                    <w:rPr>
                      <w:rFonts w:hint="eastAsia" w:ascii="仿宋_GB2312" w:hAnsi="仿宋_GB2312" w:eastAsia="仿宋_GB2312" w:cs="仿宋_GB2312"/>
                      <w:kern w:val="0"/>
                      <w:sz w:val="24"/>
                      <w:szCs w:val="24"/>
                      <w:lang w:val="en-US" w:eastAsia="zh-CN" w:bidi="ar"/>
                    </w:rPr>
                    <w:t>1</w:t>
                  </w:r>
                  <w:r>
                    <w:rPr>
                      <w:rFonts w:hint="default" w:ascii="仿宋_GB2312" w:hAnsi="仿宋_GB2312" w:eastAsia="仿宋_GB2312" w:cs="仿宋_GB2312"/>
                      <w:kern w:val="0"/>
                      <w:sz w:val="24"/>
                      <w:szCs w:val="24"/>
                      <w:lang w:eastAsia="zh-CN" w:bidi="ar"/>
                    </w:rPr>
                    <w:t>0</w:t>
                  </w:r>
                </w:p>
              </w:tc>
              <w:tc>
                <w:tcPr>
                  <w:tcW w:w="713"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kern w:val="0"/>
                      <w:sz w:val="24"/>
                      <w:szCs w:val="24"/>
                      <w:lang w:val="en-US" w:eastAsia="zh-CN" w:bidi="ar"/>
                    </w:rPr>
                    <w:t>专家评分</w:t>
                  </w:r>
                </w:p>
              </w:tc>
              <w:tc>
                <w:tcPr>
                  <w:tcW w:w="6490" w:type="dxa"/>
                  <w:noWrap w:val="0"/>
                  <w:vAlign w:val="top"/>
                </w:tcPr>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Style w:val="16"/>
                      <w:rFonts w:hint="eastAsia" w:ascii="仿宋_GB2312" w:hAnsi="仿宋_GB2312" w:eastAsia="仿宋_GB2312" w:cs="仿宋_GB2312"/>
                      <w:kern w:val="0"/>
                      <w:sz w:val="24"/>
                      <w:szCs w:val="24"/>
                      <w:lang w:val="en-US" w:eastAsia="zh-CN" w:bidi="ar"/>
                    </w:rPr>
                    <w:t>1.评审内容</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1）技术负责人：拟投入本项目技术负责人具备机电工程或消防相关专业中级工程师及以上职称得6分；具备机电工程或消防相关专业</w:t>
                  </w:r>
                  <w:r>
                    <w:rPr>
                      <w:rFonts w:hint="eastAsia" w:ascii="仿宋_GB2312" w:hAnsi="仿宋_GB2312" w:eastAsia="仿宋_GB2312" w:cs="仿宋_GB2312"/>
                      <w:kern w:val="0"/>
                      <w:sz w:val="24"/>
                      <w:lang w:bidi="ar"/>
                    </w:rPr>
                    <w:t>助理工程师</w:t>
                  </w:r>
                  <w:r>
                    <w:rPr>
                      <w:rFonts w:hint="eastAsia" w:ascii="仿宋_GB2312" w:hAnsi="仿宋_GB2312" w:eastAsia="仿宋_GB2312" w:cs="仿宋_GB2312"/>
                      <w:kern w:val="0"/>
                      <w:sz w:val="24"/>
                      <w:szCs w:val="24"/>
                      <w:lang w:val="en-US" w:eastAsia="zh-CN" w:bidi="ar"/>
                    </w:rPr>
                    <w:t>职称得4分。</w:t>
                  </w:r>
                </w:p>
                <w:p>
                  <w:pPr>
                    <w:pStyle w:val="4"/>
                    <w:ind w:left="0" w:leftChars="0" w:firstLine="0" w:firstLineChars="0"/>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2）项目负责人同类业绩：拟派项目经理或现场负责人自2023年1月1日（以合同签订时间为准）至今，每担任过1个已完工的类似消防项目的项目负责人得2分，最高</w:t>
                  </w:r>
                  <w:r>
                    <w:rPr>
                      <w:rFonts w:hint="default" w:ascii="仿宋_GB2312" w:hAnsi="仿宋_GB2312" w:eastAsia="仿宋_GB2312" w:cs="仿宋_GB2312"/>
                      <w:kern w:val="0"/>
                      <w:sz w:val="24"/>
                      <w:szCs w:val="24"/>
                      <w:lang w:eastAsia="zh-CN" w:bidi="ar"/>
                    </w:rPr>
                    <w:t>4</w:t>
                  </w:r>
                  <w:r>
                    <w:rPr>
                      <w:rFonts w:hint="eastAsia" w:ascii="仿宋_GB2312" w:hAnsi="仿宋_GB2312" w:eastAsia="仿宋_GB2312" w:cs="仿宋_GB2312"/>
                      <w:kern w:val="0"/>
                      <w:sz w:val="24"/>
                      <w:szCs w:val="24"/>
                      <w:lang w:val="en-US" w:eastAsia="zh-CN" w:bidi="ar"/>
                    </w:rPr>
                    <w:t>分。</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Style w:val="16"/>
                      <w:rFonts w:hint="eastAsia" w:ascii="仿宋_GB2312" w:hAnsi="仿宋_GB2312" w:eastAsia="仿宋_GB2312" w:cs="仿宋_GB2312"/>
                      <w:kern w:val="0"/>
                      <w:sz w:val="24"/>
                      <w:szCs w:val="24"/>
                      <w:lang w:val="en-US" w:eastAsia="zh-CN" w:bidi="ar"/>
                    </w:rPr>
                  </w:pPr>
                  <w:r>
                    <w:rPr>
                      <w:rStyle w:val="16"/>
                      <w:rFonts w:hint="eastAsia" w:ascii="仿宋_GB2312" w:hAnsi="仿宋_GB2312" w:eastAsia="仿宋_GB2312" w:cs="仿宋_GB2312"/>
                      <w:kern w:val="0"/>
                      <w:sz w:val="24"/>
                      <w:szCs w:val="24"/>
                      <w:lang w:val="en-US" w:eastAsia="zh-CN" w:bidi="ar"/>
                    </w:rPr>
                    <w:t>2.评审标准</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1）人员职称须提供有效期内证书复印件，业绩须提供对应项目合同、竣工验收等可佐证项目负责人岗位的证明材料；</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2）所有拟投入本项目人员须提供近3个月社保缴纳证明；证书过期、专业不符、岗位佐证不全、无社保佐证的，对应单项不予计分；</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kern w:val="0"/>
                      <w:sz w:val="24"/>
                      <w:szCs w:val="24"/>
                      <w:lang w:val="en-US" w:eastAsia="zh-CN" w:bidi="ar"/>
                    </w:rPr>
                    <w:t>3）资料缺失、模糊不清、无法核实真实性的，专家不予计分。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both"/>
                    <w:textAlignment w:val="auto"/>
                    <w:rPr>
                      <w:rFonts w:hint="default" w:ascii="仿宋_GB2312" w:hAnsi="仿宋_GB2312" w:eastAsia="仿宋_GB2312" w:cs="仿宋_GB2312"/>
                      <w:color w:val="auto"/>
                      <w:sz w:val="24"/>
                      <w:szCs w:val="24"/>
                      <w:lang w:eastAsia="zh-CN"/>
                    </w:rPr>
                  </w:pPr>
                  <w:r>
                    <w:rPr>
                      <w:rFonts w:hint="default" w:ascii="仿宋_GB2312" w:hAnsi="仿宋_GB2312" w:eastAsia="仿宋_GB2312" w:cs="仿宋_GB2312"/>
                      <w:color w:val="auto"/>
                      <w:sz w:val="24"/>
                      <w:szCs w:val="24"/>
                      <w:lang w:eastAsia="zh-CN"/>
                    </w:rPr>
                    <w:t>3</w:t>
                  </w:r>
                </w:p>
              </w:tc>
              <w:tc>
                <w:tcPr>
                  <w:tcW w:w="1379"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kern w:val="0"/>
                      <w:sz w:val="24"/>
                      <w:szCs w:val="24"/>
                      <w:lang w:val="en-US" w:eastAsia="zh-CN" w:bidi="ar"/>
                    </w:rPr>
                    <w:t>安全生产及质量管理体系</w:t>
                  </w:r>
                </w:p>
              </w:tc>
              <w:tc>
                <w:tcPr>
                  <w:tcW w:w="506"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kern w:val="0"/>
                      <w:sz w:val="24"/>
                      <w:szCs w:val="24"/>
                      <w:lang w:val="en-US" w:eastAsia="zh-CN" w:bidi="ar"/>
                    </w:rPr>
                    <w:t>10</w:t>
                  </w:r>
                </w:p>
              </w:tc>
              <w:tc>
                <w:tcPr>
                  <w:tcW w:w="713"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hint="eastAsia" w:ascii="仿宋_GB2312" w:hAnsi="仿宋_GB2312" w:eastAsia="仿宋_GB2312" w:cs="仿宋_GB2312"/>
                      <w:color w:val="auto"/>
                      <w:sz w:val="24"/>
                      <w:szCs w:val="24"/>
                    </w:rPr>
                  </w:pPr>
                  <w:r>
                    <w:rPr>
                      <w:rFonts w:hint="eastAsia" w:ascii="仿宋_GB2312" w:hAnsi="仿宋_GB2312" w:eastAsia="仿宋_GB2312" w:cs="仿宋_GB2312"/>
                      <w:kern w:val="0"/>
                      <w:sz w:val="24"/>
                      <w:szCs w:val="24"/>
                      <w:lang w:val="en-US" w:eastAsia="zh-CN" w:bidi="ar"/>
                    </w:rPr>
                    <w:t>专家评分</w:t>
                  </w:r>
                </w:p>
              </w:tc>
              <w:tc>
                <w:tcPr>
                  <w:tcW w:w="6490" w:type="dxa"/>
                  <w:noWrap w:val="0"/>
                  <w:vAlign w:val="top"/>
                </w:tcPr>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Style w:val="16"/>
                      <w:rFonts w:hint="eastAsia" w:ascii="仿宋_GB2312" w:hAnsi="仿宋_GB2312" w:eastAsia="仿宋_GB2312" w:cs="仿宋_GB2312"/>
                      <w:kern w:val="0"/>
                      <w:sz w:val="24"/>
                      <w:szCs w:val="24"/>
                      <w:lang w:val="en-US" w:eastAsia="zh-CN" w:bidi="ar"/>
                    </w:rPr>
                    <w:t>1.评审内容</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投标人具备有效的ISO质量管理体系认证、安全生产管理体系认证相关认证证书，每具备1项有效认证得5分，本项最高得10分；证书不在有效期内、未年审、无法核验的不得分。</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szCs w:val="24"/>
                    </w:rPr>
                  </w:pPr>
                  <w:r>
                    <w:rPr>
                      <w:rStyle w:val="16"/>
                      <w:rFonts w:hint="eastAsia" w:ascii="仿宋_GB2312" w:hAnsi="仿宋_GB2312" w:eastAsia="仿宋_GB2312" w:cs="仿宋_GB2312"/>
                      <w:kern w:val="0"/>
                      <w:sz w:val="24"/>
                      <w:szCs w:val="24"/>
                      <w:lang w:val="en-US" w:eastAsia="zh-CN" w:bidi="ar"/>
                    </w:rPr>
                    <w:t>2.评审标准</w:t>
                  </w:r>
                </w:p>
                <w:p>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sz w:val="24"/>
                      <w:lang w:val="en-US" w:eastAsia="zh-CN"/>
                    </w:rPr>
                  </w:pPr>
                  <w:r>
                    <w:rPr>
                      <w:rFonts w:hint="eastAsia" w:ascii="仿宋_GB2312" w:hAnsi="仿宋_GB2312" w:eastAsia="仿宋_GB2312" w:cs="仿宋_GB2312"/>
                      <w:kern w:val="0"/>
                      <w:sz w:val="24"/>
                      <w:szCs w:val="24"/>
                      <w:lang w:val="en-US" w:eastAsia="zh-CN" w:bidi="ar"/>
                    </w:rPr>
                    <w:t>须提供有效期内的认证证书复印件，同时提供国家认监委官网（http://www.cnca.gov.cn/）可查询的认证信息截图（须清晰体现官网溯源信息），所有资料加盖投标人公章。未按要求提供、资料模糊缺失、无法核验的，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color w:val="000000"/>
                      <w:sz w:val="24"/>
                      <w:szCs w:val="24"/>
                      <w:lang w:val="en-US" w:eastAsia="zh-CN"/>
                    </w:rPr>
                  </w:pPr>
                  <w:r>
                    <w:rPr>
                      <w:rFonts w:hint="eastAsia" w:ascii="仿宋_GB2312" w:hAnsi="仿宋_GB2312" w:eastAsia="仿宋_GB2312" w:cs="仿宋_GB2312"/>
                      <w:b/>
                      <w:bCs/>
                      <w:color w:val="000000"/>
                      <w:kern w:val="0"/>
                      <w:sz w:val="24"/>
                      <w:szCs w:val="24"/>
                      <w:lang w:val="en-US" w:eastAsia="zh-CN" w:bidi="ar-SA"/>
                    </w:rPr>
                    <w:t>四</w:t>
                  </w:r>
                </w:p>
              </w:tc>
              <w:tc>
                <w:tcPr>
                  <w:tcW w:w="1379" w:type="dxa"/>
                  <w:noWrap w:val="0"/>
                  <w:vAlign w:val="center"/>
                </w:tcPr>
                <w:p>
                  <w:pPr>
                    <w:keepNext w:val="0"/>
                    <w:keepLines w:val="0"/>
                    <w:pageBreakBefore w:val="0"/>
                    <w:kinsoku/>
                    <w:overflowPunct/>
                    <w:topLinePunct w:val="0"/>
                    <w:bidi w:val="0"/>
                    <w:snapToGrid/>
                    <w:spacing w:line="240" w:lineRule="auto"/>
                    <w:ind w:firstLine="0" w:firstLineChars="0"/>
                    <w:jc w:val="center"/>
                    <w:textAlignment w:val="auto"/>
                    <w:rPr>
                      <w:rFonts w:hint="eastAsia" w:ascii="仿宋_GB2312" w:hAnsi="仿宋_GB2312" w:eastAsia="仿宋_GB2312" w:cs="仿宋_GB2312"/>
                      <w:b/>
                      <w:bCs/>
                      <w:kern w:val="0"/>
                      <w:sz w:val="24"/>
                      <w:szCs w:val="24"/>
                      <w:lang w:val="en-US" w:eastAsia="zh-CN" w:bidi="ar"/>
                    </w:rPr>
                  </w:pPr>
                  <w:r>
                    <w:rPr>
                      <w:rFonts w:hint="eastAsia" w:ascii="仿宋_GB2312" w:hAnsi="仿宋_GB2312" w:eastAsia="仿宋_GB2312" w:cs="仿宋_GB2312"/>
                      <w:b/>
                      <w:bCs/>
                      <w:color w:val="000000"/>
                      <w:kern w:val="0"/>
                      <w:sz w:val="24"/>
                      <w:szCs w:val="24"/>
                      <w:lang w:val="en-US" w:eastAsia="zh-CN" w:bidi="ar-SA"/>
                    </w:rPr>
                    <w:t>诚信部分</w:t>
                  </w:r>
                </w:p>
              </w:tc>
              <w:tc>
                <w:tcPr>
                  <w:tcW w:w="7709" w:type="dxa"/>
                  <w:gridSpan w:val="3"/>
                  <w:noWrap w:val="0"/>
                  <w:vAlign w:val="center"/>
                </w:tcPr>
                <w:p>
                  <w:pPr>
                    <w:kinsoku/>
                    <w:snapToGrid/>
                    <w:jc w:val="center"/>
                    <w:textAlignment w:val="auto"/>
                    <w:rPr>
                      <w:rFonts w:hint="eastAsia" w:ascii="仿宋_GB2312" w:hAnsi="仿宋_GB2312" w:eastAsia="仿宋_GB2312" w:cs="仿宋_GB2312"/>
                      <w:b/>
                      <w:bCs/>
                      <w:snapToGrid w:val="0"/>
                      <w:color w:val="000000"/>
                      <w:kern w:val="0"/>
                      <w:sz w:val="24"/>
                      <w:szCs w:val="24"/>
                      <w:lang w:val="en-US" w:eastAsia="zh-CN" w:bidi="ar-SA"/>
                    </w:rPr>
                  </w:pPr>
                  <w:r>
                    <w:rPr>
                      <w:rFonts w:hint="eastAsia" w:ascii="仿宋_GB2312" w:hAnsi="仿宋_GB2312" w:eastAsia="仿宋_GB2312" w:cs="仿宋_GB2312"/>
                      <w:b/>
                      <w:bCs/>
                      <w:color w:val="00000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482" w:type="dxa"/>
                  <w:noWrap w:val="0"/>
                  <w:vAlign w:val="center"/>
                </w:tcPr>
                <w:p>
                  <w:pPr>
                    <w:keepNext w:val="0"/>
                    <w:keepLines w:val="0"/>
                    <w:pageBreakBefore w:val="0"/>
                    <w:kinsoku/>
                    <w:overflowPunct/>
                    <w:topLinePunct w:val="0"/>
                    <w:bidi w:val="0"/>
                    <w:snapToGrid/>
                    <w:spacing w:line="240" w:lineRule="auto"/>
                    <w:ind w:firstLine="0" w:firstLineChars="0"/>
                    <w:jc w:val="both"/>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379"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诚信情况</w:t>
                  </w:r>
                </w:p>
              </w:tc>
              <w:tc>
                <w:tcPr>
                  <w:tcW w:w="506"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5</w:t>
                  </w:r>
                </w:p>
              </w:tc>
              <w:tc>
                <w:tcPr>
                  <w:tcW w:w="713" w:type="dxa"/>
                  <w:noWrap w:val="0"/>
                  <w:vAlign w:val="center"/>
                </w:tcPr>
                <w:p>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专家评分</w:t>
                  </w:r>
                </w:p>
              </w:tc>
              <w:tc>
                <w:tcPr>
                  <w:tcW w:w="6490" w:type="dxa"/>
                  <w:noWrap w:val="0"/>
                  <w:vAlign w:val="top"/>
                </w:tcPr>
                <w:p>
                  <w:pPr>
                    <w:widowControl/>
                    <w:pBdr>
                      <w:top w:val="none" w:color="auto" w:sz="0" w:space="0"/>
                      <w:left w:val="none" w:color="auto" w:sz="0" w:space="0"/>
                      <w:bottom w:val="none" w:color="auto" w:sz="0" w:space="0"/>
                      <w:right w:val="none" w:color="auto" w:sz="0" w:space="0"/>
                    </w:pBdr>
                    <w:spacing w:line="240" w:lineRule="auto"/>
                    <w:jc w:val="left"/>
                    <w:textAlignment w:val="top"/>
                    <w:rPr>
                      <w:rFonts w:hint="eastAsia" w:ascii="仿宋_GB2312" w:hAnsi="仿宋_GB2312" w:eastAsia="仿宋_GB2312" w:cs="仿宋_GB2312"/>
                      <w:b/>
                      <w:bCs/>
                      <w:kern w:val="0"/>
                      <w:sz w:val="24"/>
                      <w:szCs w:val="24"/>
                      <w:highlight w:val="none"/>
                      <w:lang w:bidi="ar"/>
                    </w:rPr>
                  </w:pPr>
                  <w:r>
                    <w:rPr>
                      <w:rFonts w:hint="eastAsia" w:ascii="仿宋_GB2312" w:hAnsi="仿宋_GB2312" w:eastAsia="仿宋_GB2312" w:cs="仿宋_GB2312"/>
                      <w:b/>
                      <w:bCs/>
                      <w:kern w:val="0"/>
                      <w:sz w:val="24"/>
                      <w:szCs w:val="24"/>
                      <w:highlight w:val="none"/>
                      <w:lang w:val="en-US" w:eastAsia="zh-CN" w:bidi="ar"/>
                    </w:rPr>
                    <w:t>1.评审</w:t>
                  </w:r>
                  <w:r>
                    <w:rPr>
                      <w:rFonts w:hint="eastAsia" w:ascii="仿宋_GB2312" w:hAnsi="仿宋_GB2312" w:eastAsia="仿宋_GB2312" w:cs="仿宋_GB2312"/>
                      <w:b/>
                      <w:bCs/>
                      <w:kern w:val="0"/>
                      <w:sz w:val="24"/>
                      <w:szCs w:val="24"/>
                      <w:highlight w:val="none"/>
                      <w:lang w:bidi="ar"/>
                    </w:rPr>
                    <w:t>内容</w:t>
                  </w:r>
                </w:p>
                <w:p>
                  <w:pPr>
                    <w:widowControl/>
                    <w:pBdr>
                      <w:top w:val="none" w:color="auto" w:sz="0" w:space="0"/>
                      <w:left w:val="none" w:color="auto" w:sz="0" w:space="0"/>
                      <w:bottom w:val="none" w:color="auto" w:sz="0" w:space="0"/>
                      <w:right w:val="none" w:color="auto" w:sz="0" w:space="0"/>
                    </w:pBdr>
                    <w:spacing w:line="240" w:lineRule="auto"/>
                    <w:jc w:val="left"/>
                    <w:textAlignment w:val="top"/>
                    <w:rPr>
                      <w:rFonts w:hint="eastAsia" w:ascii="仿宋_GB2312" w:hAnsi="仿宋_GB2312" w:eastAsia="仿宋_GB2312" w:cs="仿宋_GB2312"/>
                      <w:kern w:val="0"/>
                      <w:sz w:val="24"/>
                      <w:szCs w:val="24"/>
                      <w:highlight w:val="none"/>
                      <w:lang w:bidi="ar"/>
                    </w:rPr>
                  </w:pPr>
                  <w:r>
                    <w:rPr>
                      <w:rFonts w:hint="eastAsia" w:ascii="仿宋_GB2312" w:hAnsi="仿宋_GB2312" w:eastAsia="仿宋_GB2312" w:cs="仿宋_GB2312"/>
                      <w:kern w:val="0"/>
                      <w:sz w:val="24"/>
                      <w:szCs w:val="24"/>
                      <w:highlight w:val="none"/>
                      <w:lang w:bidi="ar"/>
                    </w:rPr>
                    <w:t>投标人存在《深圳市财政局政府采购供应商信用信息管理办法》（深财规〔2023〕3号）列明的一般行政处罚信息、一般违法失信记录信息的，本项不得分，不存在上述情形的本项得</w:t>
                  </w:r>
                  <w:r>
                    <w:rPr>
                      <w:rFonts w:hint="eastAsia" w:ascii="仿宋_GB2312" w:hAnsi="仿宋_GB2312" w:eastAsia="仿宋_GB2312" w:cs="仿宋_GB2312"/>
                      <w:kern w:val="0"/>
                      <w:sz w:val="24"/>
                      <w:szCs w:val="24"/>
                      <w:highlight w:val="none"/>
                      <w:lang w:val="en-US" w:eastAsia="zh-CN" w:bidi="ar"/>
                    </w:rPr>
                    <w:t>5</w:t>
                  </w:r>
                  <w:r>
                    <w:rPr>
                      <w:rFonts w:hint="eastAsia" w:ascii="仿宋_GB2312" w:hAnsi="仿宋_GB2312" w:eastAsia="仿宋_GB2312" w:cs="仿宋_GB2312"/>
                      <w:kern w:val="0"/>
                      <w:sz w:val="24"/>
                      <w:szCs w:val="24"/>
                      <w:highlight w:val="none"/>
                      <w:lang w:bidi="ar"/>
                    </w:rPr>
                    <w:t>分。投标人无需提供任何证明材料，评标过程中由工作人员向评审委员会提供供应商诚信查询结果。</w:t>
                  </w:r>
                </w:p>
                <w:p>
                  <w:pPr>
                    <w:widowControl/>
                    <w:pBdr>
                      <w:top w:val="none" w:color="auto" w:sz="0" w:space="0"/>
                      <w:left w:val="none" w:color="auto" w:sz="0" w:space="0"/>
                      <w:bottom w:val="none" w:color="auto" w:sz="0" w:space="0"/>
                      <w:right w:val="none" w:color="auto" w:sz="0" w:space="0"/>
                    </w:pBdr>
                    <w:spacing w:line="240" w:lineRule="auto"/>
                    <w:jc w:val="left"/>
                    <w:textAlignment w:val="top"/>
                    <w:rPr>
                      <w:rFonts w:hint="eastAsia" w:ascii="仿宋_GB2312" w:hAnsi="仿宋_GB2312" w:eastAsia="仿宋_GB2312" w:cs="仿宋_GB2312"/>
                      <w:b/>
                      <w:bCs/>
                      <w:kern w:val="0"/>
                      <w:sz w:val="24"/>
                      <w:szCs w:val="24"/>
                      <w:highlight w:val="none"/>
                      <w:lang w:bidi="ar"/>
                    </w:rPr>
                  </w:pPr>
                  <w:r>
                    <w:rPr>
                      <w:rFonts w:hint="eastAsia" w:ascii="仿宋_GB2312" w:hAnsi="仿宋_GB2312" w:eastAsia="仿宋_GB2312" w:cs="仿宋_GB2312"/>
                      <w:b/>
                      <w:bCs/>
                      <w:kern w:val="0"/>
                      <w:sz w:val="24"/>
                      <w:szCs w:val="24"/>
                      <w:highlight w:val="none"/>
                      <w:lang w:val="en-US" w:eastAsia="zh-CN" w:bidi="ar"/>
                    </w:rPr>
                    <w:t>2.</w:t>
                  </w:r>
                  <w:r>
                    <w:rPr>
                      <w:rFonts w:hint="eastAsia" w:ascii="仿宋_GB2312" w:hAnsi="仿宋_GB2312" w:eastAsia="仿宋_GB2312" w:cs="仿宋_GB2312"/>
                      <w:b/>
                      <w:bCs/>
                      <w:kern w:val="0"/>
                      <w:sz w:val="24"/>
                      <w:szCs w:val="24"/>
                      <w:highlight w:val="none"/>
                      <w:lang w:bidi="ar"/>
                    </w:rPr>
                    <w:t>评分依据</w:t>
                  </w:r>
                </w:p>
                <w:p>
                  <w:pPr>
                    <w:widowControl/>
                    <w:pBdr>
                      <w:top w:val="none" w:color="auto" w:sz="0" w:space="0"/>
                      <w:left w:val="none" w:color="auto" w:sz="0" w:space="0"/>
                      <w:bottom w:val="none" w:color="auto" w:sz="0" w:space="0"/>
                      <w:right w:val="none" w:color="auto" w:sz="0" w:space="0"/>
                    </w:pBdr>
                    <w:jc w:val="left"/>
                    <w:textAlignment w:val="top"/>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highlight w:val="none"/>
                      <w:lang w:bidi="ar"/>
                    </w:rPr>
                    <w:t>查询渠道：通过“信用中国”（www.creditchina.gov.cn）、“中国政府采购网”（www.ccgp.gov.cn）、</w:t>
                  </w:r>
                  <w:r>
                    <w:rPr>
                      <w:rFonts w:hint="eastAsia" w:ascii="仿宋_GB2312" w:hAnsi="仿宋_GB2312" w:eastAsia="仿宋_GB2312" w:cs="仿宋_GB2312"/>
                      <w:kern w:val="0"/>
                      <w:sz w:val="24"/>
                      <w:szCs w:val="24"/>
                      <w:highlight w:val="none"/>
                      <w:lang w:eastAsia="zh-CN" w:bidi="ar"/>
                    </w:rPr>
                    <w:t>“深圳信用网”</w:t>
                  </w:r>
                  <w:r>
                    <w:rPr>
                      <w:rFonts w:hint="eastAsia" w:ascii="仿宋_GB2312" w:hAnsi="仿宋_GB2312" w:eastAsia="仿宋_GB2312" w:cs="仿宋_GB2312"/>
                      <w:kern w:val="0"/>
                      <w:sz w:val="24"/>
                      <w:szCs w:val="24"/>
                      <w:highlight w:val="none"/>
                      <w:lang w:bidi="ar"/>
                    </w:rPr>
                    <w:t>“深圳市政府采购监管网”（http://zfcg.sz.gov.cn）以及财政主管部门认定的其他渠道查询供应商信用信息，信用信息以开标当日的查询结果为准。</w:t>
                  </w:r>
                </w:p>
              </w:tc>
            </w:tr>
          </w:tbl>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textAlignment w:val="auto"/>
              <w:rPr>
                <w:rFonts w:hint="eastAsia" w:ascii="宋体" w:hAnsi="宋体" w:eastAsia="宋体" w:cs="宋体"/>
                <w:b/>
                <w:color w:val="auto"/>
                <w:sz w:val="24"/>
                <w:szCs w:val="24"/>
                <w:highlight w:val="none"/>
                <w:shd w:val="clear" w:color="auto" w:fill="auto"/>
              </w:rPr>
            </w:pPr>
          </w:p>
        </w:tc>
      </w:tr>
      <w:tr>
        <w:tblPrEx>
          <w:tblCellMar>
            <w:top w:w="45" w:type="dxa"/>
            <w:left w:w="45" w:type="dxa"/>
            <w:bottom w:w="45" w:type="dxa"/>
            <w:right w:w="45" w:type="dxa"/>
          </w:tblCellMar>
        </w:tblPrEx>
        <w:trPr>
          <w:tblCellSpacing w:w="0" w:type="dxa"/>
          <w:jc w:val="center"/>
        </w:trPr>
        <w:tc>
          <w:tcPr>
            <w:tcW w:w="5000" w:type="pct"/>
            <w:gridSpan w:val="2"/>
            <w:tcBorders>
              <w:top w:val="nil"/>
              <w:left w:val="nil"/>
              <w:bottom w:val="nil"/>
              <w:right w:val="nil"/>
            </w:tcBorders>
            <w:noWrap w:val="0"/>
            <w:vAlign w:val="center"/>
          </w:tcPr>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textAlignment w:val="auto"/>
              <w:rPr>
                <w:rFonts w:hint="eastAsia" w:ascii="宋体" w:hAnsi="宋体" w:eastAsia="宋体" w:cs="宋体"/>
                <w:b/>
                <w:color w:val="auto"/>
                <w:sz w:val="24"/>
                <w:szCs w:val="24"/>
                <w:highlight w:val="none"/>
                <w:shd w:val="clear" w:color="auto" w:fill="auto"/>
              </w:rPr>
            </w:pPr>
          </w:p>
        </w:tc>
      </w:tr>
      <w:tr>
        <w:tblPrEx>
          <w:tblCellMar>
            <w:top w:w="45" w:type="dxa"/>
            <w:left w:w="45" w:type="dxa"/>
            <w:bottom w:w="45" w:type="dxa"/>
            <w:right w:w="45" w:type="dxa"/>
          </w:tblCellMar>
        </w:tblPrEx>
        <w:trPr>
          <w:tblCellSpacing w:w="0" w:type="dxa"/>
          <w:jc w:val="center"/>
        </w:trPr>
        <w:tc>
          <w:tcPr>
            <w:tcW w:w="5000" w:type="pct"/>
            <w:gridSpan w:val="2"/>
            <w:tcBorders>
              <w:top w:val="nil"/>
              <w:left w:val="nil"/>
              <w:bottom w:val="nil"/>
              <w:right w:val="nil"/>
            </w:tcBorders>
            <w:noWrap w:val="0"/>
            <w:vAlign w:val="center"/>
          </w:tcPr>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textAlignment w:val="auto"/>
              <w:rPr>
                <w:rFonts w:hint="eastAsia" w:ascii="宋体" w:hAnsi="宋体" w:eastAsia="宋体" w:cs="宋体"/>
                <w:b/>
                <w:color w:val="auto"/>
                <w:sz w:val="24"/>
                <w:szCs w:val="24"/>
                <w:highlight w:val="none"/>
                <w:shd w:val="clear" w:color="auto" w:fill="auto"/>
              </w:rPr>
            </w:pPr>
          </w:p>
        </w:tc>
      </w:tr>
    </w:tbl>
    <w:p>
      <w:pPr>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Pr>
        <w:t>注：</w:t>
      </w:r>
    </w:p>
    <w:p>
      <w:pPr>
        <w:ind w:firstLine="420" w:firstLineChars="200"/>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Pr>
        <w:t>1.每一项的得分均不能超过该项最高分值。</w:t>
      </w:r>
    </w:p>
    <w:p>
      <w:pPr>
        <w:ind w:firstLine="420" w:firstLineChars="200"/>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Pr>
        <w:t>2.缺项则该项为0分或不合格为0分。</w:t>
      </w:r>
    </w:p>
    <w:p>
      <w:pPr>
        <w:ind w:firstLine="420" w:firstLineChars="200"/>
        <w:rPr>
          <w:rFonts w:hint="eastAsia" w:ascii="宋体" w:hAnsi="宋体" w:eastAsia="宋体" w:cs="宋体"/>
          <w:b/>
          <w:bCs/>
          <w:color w:val="auto"/>
          <w:kern w:val="2"/>
          <w:sz w:val="24"/>
          <w:szCs w:val="24"/>
          <w:lang w:val="en-US" w:eastAsia="zh-CN" w:bidi="ar"/>
        </w:rPr>
      </w:pPr>
      <w:r>
        <w:rPr>
          <w:rFonts w:hint="eastAsia" w:ascii="宋体" w:hAnsi="宋体" w:eastAsia="宋体" w:cs="宋体"/>
          <w:color w:val="auto"/>
          <w:highlight w:val="none"/>
          <w:shd w:val="clear" w:color="auto" w:fill="auto"/>
        </w:rPr>
        <w:t>3.价格部分、技术部分、商务部分</w:t>
      </w:r>
      <w:r>
        <w:rPr>
          <w:rFonts w:hint="eastAsia" w:ascii="宋体" w:hAnsi="宋体" w:eastAsia="宋体" w:cs="宋体"/>
          <w:color w:val="auto"/>
          <w:highlight w:val="none"/>
          <w:shd w:val="clear" w:color="auto" w:fill="auto"/>
          <w:lang w:eastAsia="zh-CN"/>
        </w:rPr>
        <w:t>、诚信部分</w:t>
      </w:r>
      <w:r>
        <w:rPr>
          <w:rFonts w:hint="eastAsia" w:ascii="宋体" w:hAnsi="宋体" w:eastAsia="宋体" w:cs="宋体"/>
          <w:color w:val="auto"/>
          <w:highlight w:val="none"/>
          <w:shd w:val="clear" w:color="auto" w:fill="auto"/>
        </w:rPr>
        <w:t>为针对项目具体情况设置项目，累加满分为100分。</w:t>
      </w:r>
      <w:bookmarkStart w:id="0" w:name="_GoBack"/>
      <w:bookmarkEnd w:id="0"/>
    </w:p>
    <w:sectPr>
      <w:headerReference r:id="rId5" w:type="default"/>
      <w:footerReference r:id="rId6" w:type="default"/>
      <w:pgSz w:w="11906" w:h="16838"/>
      <w:pgMar w:top="136" w:right="1800" w:bottom="1327"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CESI黑体-GB13000">
    <w:panose1 w:val="02000500000000000000"/>
    <w:charset w:val="86"/>
    <w:family w:val="auto"/>
    <w:pitch w:val="default"/>
    <w:sig w:usb0="800002BF" w:usb1="38CF7CF8"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SimHei">
    <w:altName w:val="方正黑体_GBK"/>
    <w:panose1 w:val="02010609060101010101"/>
    <w:charset w:val="86"/>
    <w:family w:val="auto"/>
    <w:pitch w:val="default"/>
    <w:sig w:usb0="00000000" w:usb1="00000000" w:usb2="00000016" w:usb3="00000000" w:csb0="00040001"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t xml:space="preserve">— </w:t>
                          </w:r>
                          <w:r>
                            <w:fldChar w:fldCharType="begin"/>
                          </w:r>
                          <w:r>
                            <w:instrText xml:space="preserve"> PAGE  \* MERGEFORMAT </w:instrText>
                          </w:r>
                          <w:r>
                            <w:fldChar w:fldCharType="separate"/>
                          </w:r>
                          <w:r>
                            <w:t>12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IoUZjzRAAAAlAEAAAsAAAAAAAAAAQAgAAAA&#10;twMAAF9yZWxzLy5yZWxzUEsBAhQAFAAAAAgAh07iQH7m5SD3AAAA4QEAABMAAAAAAAAAAQAgAAAA&#10;sQQAAFtDb250ZW50X1R5cGVzXS54bWxQSwECFAAKAAAAAACHTuJAAAAAAAAAAAAAAAAABgAAAAAA&#10;AAAAABAAAACTAwAAX3JlbHMvUEsBAhQAFAAAAAgAh07iQLqMOCsyAgAAYQQAAA4AAAAAAAAAAQAg&#10;AAAANQEAAGRycy9lMm9Eb2MueG1sUEsBAhQAFAAAAAgAh07iQLNJWO7QAAAABQEAAA8AAAAAAAAA&#10;AQAgAAAAOAAAAGRycy9kb3ducmV2LnhtbFBLAQIUAAoAAAAAAIdO4kAAAAAAAAAAAAAAAAAEAAAA&#10;AAAAAAAAEAAAABYAAABkcnMvUEsFBgAAAAAGAAYAWQEAANkFAAAAAA==&#10;">
              <v:fill on="f" focussize="0,0"/>
              <v:stroke on="f" weight="0.5pt"/>
              <v:imagedata o:title=""/>
              <o:lock v:ext="edit" aspectratio="f"/>
              <v:textbox inset="0mm,0mm,0mm,0mm" style="mso-fit-shape-to-text:t;">
                <w:txbxContent>
                  <w:p>
                    <w:pPr>
                      <w:pStyle w:val="9"/>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7F735F"/>
    <w:multiLevelType w:val="singleLevel"/>
    <w:tmpl w:val="F67F735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trackRevisions w:val="1"/>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ADF4020"/>
    <w:rsid w:val="1BA7CEB2"/>
    <w:rsid w:val="1DE7FB0A"/>
    <w:rsid w:val="2DFF3B00"/>
    <w:rsid w:val="373F61FD"/>
    <w:rsid w:val="3EEDCFCC"/>
    <w:rsid w:val="3EF27015"/>
    <w:rsid w:val="3FAE272D"/>
    <w:rsid w:val="46E9D2AD"/>
    <w:rsid w:val="5E7A45ED"/>
    <w:rsid w:val="5EFFE8F3"/>
    <w:rsid w:val="5F73B121"/>
    <w:rsid w:val="5F8B3CCD"/>
    <w:rsid w:val="5FF7647A"/>
    <w:rsid w:val="66FDDAB8"/>
    <w:rsid w:val="69BF9D6A"/>
    <w:rsid w:val="6B0F4936"/>
    <w:rsid w:val="6C9D4280"/>
    <w:rsid w:val="6DFFE940"/>
    <w:rsid w:val="70FF7E77"/>
    <w:rsid w:val="77D8DCE4"/>
    <w:rsid w:val="79CF20EF"/>
    <w:rsid w:val="7A3EBB2B"/>
    <w:rsid w:val="7DDD639C"/>
    <w:rsid w:val="7E6D5B47"/>
    <w:rsid w:val="7EFD01DF"/>
    <w:rsid w:val="7EFD0E74"/>
    <w:rsid w:val="7FDFE44F"/>
    <w:rsid w:val="7FEB792B"/>
    <w:rsid w:val="AC7B0C0F"/>
    <w:rsid w:val="ACF2EFB5"/>
    <w:rsid w:val="AF6F5A3E"/>
    <w:rsid w:val="B4FF8ECD"/>
    <w:rsid w:val="B7BDF12C"/>
    <w:rsid w:val="BBBA9863"/>
    <w:rsid w:val="BBFA3ED3"/>
    <w:rsid w:val="BBFFB3AF"/>
    <w:rsid w:val="BFF32C9D"/>
    <w:rsid w:val="CDCBC0E9"/>
    <w:rsid w:val="CDFF036D"/>
    <w:rsid w:val="CFD798EC"/>
    <w:rsid w:val="D6FF1513"/>
    <w:rsid w:val="DA2E9BE6"/>
    <w:rsid w:val="DCEF6044"/>
    <w:rsid w:val="DE9E738B"/>
    <w:rsid w:val="DFBFFEF3"/>
    <w:rsid w:val="E9DD0FF9"/>
    <w:rsid w:val="EF3D5604"/>
    <w:rsid w:val="EFCF0014"/>
    <w:rsid w:val="EFCF7BD4"/>
    <w:rsid w:val="F7CF423C"/>
    <w:rsid w:val="F9FBC182"/>
    <w:rsid w:val="FC6B321E"/>
    <w:rsid w:val="FD3E1F1C"/>
    <w:rsid w:val="FEDDF0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4">
    <w:name w:val="Normal Indent"/>
    <w:basedOn w:val="1"/>
    <w:next w:val="5"/>
    <w:qFormat/>
    <w:uiPriority w:val="0"/>
    <w:pPr>
      <w:ind w:firstLine="420" w:firstLineChars="200"/>
    </w:pPr>
    <w:rPr>
      <w:szCs w:val="21"/>
    </w:rPr>
  </w:style>
  <w:style w:type="paragraph" w:customStyle="1" w:styleId="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6">
    <w:name w:val="Body Text"/>
    <w:basedOn w:val="1"/>
    <w:next w:val="1"/>
    <w:semiHidden/>
    <w:qFormat/>
    <w:uiPriority w:val="0"/>
    <w:rPr>
      <w:rFonts w:ascii="宋体" w:hAnsi="宋体" w:eastAsia="宋体" w:cs="宋体"/>
      <w:sz w:val="22"/>
      <w:szCs w:val="22"/>
      <w:lang w:val="en-US" w:eastAsia="en-US" w:bidi="ar-SA"/>
    </w:rPr>
  </w:style>
  <w:style w:type="paragraph" w:styleId="7">
    <w:name w:val="Body Text Indent"/>
    <w:basedOn w:val="1"/>
    <w:next w:val="8"/>
    <w:unhideWhenUsed/>
    <w:qFormat/>
    <w:uiPriority w:val="99"/>
    <w:pPr>
      <w:spacing w:after="120"/>
      <w:ind w:left="420" w:leftChars="200"/>
    </w:pPr>
  </w:style>
  <w:style w:type="paragraph" w:styleId="8">
    <w:name w:val="Body Text First Indent 2"/>
    <w:basedOn w:val="7"/>
    <w:next w:val="4"/>
    <w:qFormat/>
    <w:uiPriority w:val="0"/>
    <w:pPr>
      <w:spacing w:after="0"/>
      <w:ind w:left="0" w:leftChars="0" w:firstLine="420" w:firstLineChars="200"/>
    </w:pPr>
    <w:rPr>
      <w:rFonts w:eastAsia="仿宋_GB2312"/>
      <w:sz w:val="32"/>
    </w:rPr>
  </w:style>
  <w:style w:type="paragraph" w:styleId="9">
    <w:name w:val="footer"/>
    <w:basedOn w:val="1"/>
    <w:unhideWhenUsed/>
    <w:qFormat/>
    <w:uiPriority w:val="0"/>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2"/>
    <w:basedOn w:val="1"/>
    <w:qFormat/>
    <w:uiPriority w:val="0"/>
    <w:pPr>
      <w:spacing w:after="120" w:line="480" w:lineRule="auto"/>
    </w:p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3">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character" w:styleId="16">
    <w:name w:val="Strong"/>
    <w:basedOn w:val="15"/>
    <w:qFormat/>
    <w:uiPriority w:val="0"/>
    <w:rPr>
      <w:b/>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TotalTime>23</TotalTime>
  <ScaleCrop>false</ScaleCrop>
  <LinksUpToDate>false</LinksUpToDate>
  <Application>WPS Office_11.8.2.11764_F1E327BC-269C-435d-A152-05C5408002CA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2026-08-11T02:21:00Z</dcterms:created>
  <dc:creator>用户</dc:creator>
  <cp:lastModifiedBy>罗宇琦</cp:lastModifiedBy>
  <dcterms:modified xsi:type="dcterms:W3CDTF">2026-09-14T11:43:46Z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2026-08-27T14:31:33Z</vt:filetime>
  </property>
  <property fmtid="{D5CDD505-2E9C-101B-9397-08002B2CF9AE}" pid="4" name="KSOProductBuildVer">
    <vt:lpwstr>2052-11.8.2.11764</vt:lpwstr>
  </property>
  <property fmtid="{D5CDD505-2E9C-101B-9397-08002B2CF9AE}" pid="5" name="ICV">
    <vt:lpwstr>A72880D7C1652077542A916A19BBE85C</vt:lpwstr>
  </property>
</Properties>
</file>