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spacing w:line="560" w:lineRule="exact"/>
        <w:rPr>
          <w:rFonts w:hint="eastAsia" w:ascii="仿宋" w:hAnsi="仿宋" w:eastAsia="仿宋" w:cs="仿宋_GB2312"/>
          <w:b/>
          <w:kern w:val="0"/>
          <w:sz w:val="32"/>
          <w:szCs w:val="32"/>
        </w:rPr>
      </w:pPr>
      <w:r>
        <w:rPr>
          <w:rFonts w:hint="eastAsia" w:ascii="仿宋_GB2312" w:hAnsi="仿宋_GB2312" w:eastAsia="仿宋_GB2312" w:cs="仿宋_GB2312"/>
          <w:bCs/>
          <w:kern w:val="0"/>
          <w:sz w:val="32"/>
          <w:szCs w:val="32"/>
        </w:rPr>
        <w:t>附件1：</w:t>
      </w:r>
    </w:p>
    <w:p>
      <w:pPr>
        <w:widowControl/>
        <w:snapToGrid w:val="0"/>
        <w:spacing w:line="560" w:lineRule="exact"/>
        <w:jc w:val="center"/>
        <w:rPr>
          <w:rFonts w:hint="eastAsia" w:ascii="黑体" w:hAnsi="黑体" w:eastAsia="黑体" w:cs="黑体"/>
          <w:kern w:val="0"/>
          <w:sz w:val="40"/>
          <w:szCs w:val="40"/>
        </w:rPr>
      </w:pPr>
      <w:bookmarkStart w:id="0" w:name="_GoBack"/>
      <w:r>
        <w:rPr>
          <w:rFonts w:hint="eastAsia" w:ascii="黑体" w:hAnsi="黑体" w:eastAsia="黑体" w:cs="黑体"/>
          <w:kern w:val="0"/>
          <w:sz w:val="40"/>
          <w:szCs w:val="40"/>
        </w:rPr>
        <w:t>评分标准</w:t>
      </w:r>
      <w:bookmarkEnd w:id="0"/>
    </w:p>
    <w:tbl>
      <w:tblPr>
        <w:tblStyle w:val="4"/>
        <w:tblW w:w="95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3"/>
        <w:gridCol w:w="1846"/>
        <w:gridCol w:w="764"/>
        <w:gridCol w:w="810"/>
        <w:gridCol w:w="53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63"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仿宋" w:hAnsi="仿宋" w:eastAsia="仿宋"/>
                <w:b/>
                <w:sz w:val="24"/>
                <w:szCs w:val="24"/>
              </w:rPr>
            </w:pPr>
            <w:r>
              <w:rPr>
                <w:rFonts w:hint="eastAsia" w:ascii="仿宋" w:hAnsi="仿宋" w:eastAsia="仿宋"/>
                <w:b/>
                <w:sz w:val="24"/>
                <w:szCs w:val="24"/>
              </w:rPr>
              <w:t>评分因素</w:t>
            </w:r>
          </w:p>
        </w:tc>
        <w:tc>
          <w:tcPr>
            <w:tcW w:w="535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仿宋" w:hAnsi="仿宋" w:eastAsia="仿宋"/>
                <w:b/>
                <w:sz w:val="24"/>
                <w:szCs w:val="24"/>
              </w:rPr>
            </w:pPr>
            <w:r>
              <w:rPr>
                <w:rFonts w:hint="eastAsia" w:ascii="仿宋" w:hAnsi="仿宋" w:eastAsia="仿宋"/>
                <w:b/>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63"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sz w:val="24"/>
                <w:szCs w:val="24"/>
              </w:rPr>
            </w:pPr>
            <w:r>
              <w:rPr>
                <w:rFonts w:hint="eastAsia" w:ascii="仿宋" w:hAnsi="仿宋" w:eastAsia="仿宋"/>
                <w:sz w:val="24"/>
                <w:szCs w:val="24"/>
              </w:rPr>
              <w:t>（一）价格</w:t>
            </w:r>
          </w:p>
        </w:tc>
        <w:tc>
          <w:tcPr>
            <w:tcW w:w="535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sz w:val="24"/>
                <w:szCs w:val="24"/>
              </w:rPr>
            </w:pPr>
            <w:r>
              <w:rPr>
                <w:rFonts w:hint="eastAsia" w:ascii="仿宋" w:hAnsi="仿宋" w:eastAsia="仿宋"/>
                <w:sz w:val="24"/>
                <w:szCs w:val="24"/>
              </w:rPr>
              <w:t>1</w:t>
            </w:r>
            <w:r>
              <w:rPr>
                <w:rFonts w:ascii="仿宋" w:hAnsi="仿宋" w:eastAsia="仿宋"/>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15" w:type="dxa"/>
            <w:gridSpan w:val="5"/>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sz w:val="24"/>
                <w:szCs w:val="24"/>
              </w:rPr>
            </w:pPr>
            <w:r>
              <w:rPr>
                <w:rFonts w:hint="eastAsia" w:ascii="宋体" w:hAnsi="宋体"/>
                <w:sz w:val="24"/>
                <w:szCs w:val="24"/>
              </w:rPr>
              <w:t>综合评分法中的价格分统一采用低价优先法计算，即满足招标文件要求且投标价格最低的投标报价为评标基准价，其价格分为满分。其他投标人的价格分统一按照下列公式计算：</w:t>
            </w:r>
          </w:p>
          <w:p>
            <w:pPr>
              <w:spacing w:line="360" w:lineRule="auto"/>
              <w:jc w:val="left"/>
              <w:rPr>
                <w:rFonts w:hint="eastAsia" w:ascii="仿宋" w:hAnsi="仿宋" w:eastAsia="仿宋"/>
                <w:sz w:val="24"/>
                <w:szCs w:val="24"/>
              </w:rPr>
            </w:pPr>
            <w:r>
              <w:rPr>
                <w:rFonts w:hint="eastAsia" w:ascii="宋体" w:hAnsi="宋体"/>
                <w:sz w:val="24"/>
                <w:szCs w:val="24"/>
              </w:rPr>
              <w:t>投标报价得分=（评标基准价/投标报价）×分值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63"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 w:hAnsi="仿宋" w:eastAsia="仿宋"/>
                <w:sz w:val="24"/>
                <w:szCs w:val="24"/>
              </w:rPr>
            </w:pPr>
            <w:r>
              <w:rPr>
                <w:rFonts w:hint="eastAsia" w:ascii="仿宋" w:hAnsi="仿宋" w:eastAsia="仿宋"/>
                <w:sz w:val="24"/>
                <w:szCs w:val="24"/>
              </w:rPr>
              <w:t>（二）技术</w:t>
            </w:r>
          </w:p>
        </w:tc>
        <w:tc>
          <w:tcPr>
            <w:tcW w:w="535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sz w:val="24"/>
                <w:szCs w:val="24"/>
              </w:rPr>
            </w:pPr>
            <w:r>
              <w:rPr>
                <w:rFonts w:hint="eastAsia" w:ascii="仿宋" w:hAnsi="仿宋" w:eastAsia="仿宋"/>
                <w:sz w:val="24"/>
                <w:szCs w:val="24"/>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74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仿宋" w:hAnsi="仿宋" w:eastAsia="仿宋"/>
                <w:b/>
                <w:bCs/>
                <w:sz w:val="24"/>
                <w:szCs w:val="24"/>
              </w:rPr>
            </w:pPr>
            <w:r>
              <w:rPr>
                <w:rFonts w:hint="eastAsia" w:ascii="仿宋" w:hAnsi="仿宋" w:eastAsia="仿宋"/>
                <w:b/>
                <w:bCs/>
                <w:sz w:val="24"/>
                <w:szCs w:val="24"/>
              </w:rPr>
              <w:t>序号</w:t>
            </w:r>
          </w:p>
        </w:tc>
        <w:tc>
          <w:tcPr>
            <w:tcW w:w="184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仿宋" w:hAnsi="仿宋" w:eastAsia="仿宋"/>
                <w:b/>
                <w:bCs/>
                <w:sz w:val="24"/>
                <w:szCs w:val="24"/>
              </w:rPr>
            </w:pPr>
            <w:r>
              <w:rPr>
                <w:rFonts w:hint="eastAsia" w:ascii="仿宋" w:hAnsi="仿宋" w:eastAsia="仿宋"/>
                <w:b/>
                <w:bCs/>
                <w:sz w:val="24"/>
                <w:szCs w:val="24"/>
              </w:rPr>
              <w:t>评分项目</w:t>
            </w:r>
          </w:p>
        </w:tc>
        <w:tc>
          <w:tcPr>
            <w:tcW w:w="76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仿宋" w:hAnsi="仿宋" w:eastAsia="仿宋"/>
                <w:b/>
                <w:bCs/>
                <w:sz w:val="24"/>
                <w:szCs w:val="24"/>
              </w:rPr>
            </w:pPr>
            <w:r>
              <w:rPr>
                <w:rFonts w:hint="eastAsia" w:ascii="仿宋" w:hAnsi="仿宋" w:eastAsia="仿宋"/>
                <w:b/>
                <w:bCs/>
                <w:sz w:val="24"/>
                <w:szCs w:val="24"/>
              </w:rPr>
              <w:t>分值</w:t>
            </w:r>
          </w:p>
        </w:tc>
        <w:tc>
          <w:tcPr>
            <w:tcW w:w="8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仿宋" w:hAnsi="仿宋" w:eastAsia="仿宋"/>
                <w:b/>
                <w:bCs/>
                <w:sz w:val="24"/>
                <w:szCs w:val="24"/>
              </w:rPr>
            </w:pPr>
            <w:r>
              <w:rPr>
                <w:rFonts w:hint="eastAsia" w:ascii="仿宋" w:hAnsi="仿宋" w:eastAsia="仿宋"/>
                <w:b/>
                <w:bCs/>
                <w:sz w:val="24"/>
                <w:szCs w:val="24"/>
              </w:rPr>
              <w:t>评分</w:t>
            </w:r>
          </w:p>
          <w:p>
            <w:pPr>
              <w:spacing w:line="240" w:lineRule="exact"/>
              <w:jc w:val="center"/>
              <w:rPr>
                <w:rFonts w:ascii="仿宋" w:hAnsi="仿宋" w:eastAsia="仿宋"/>
                <w:b/>
                <w:bCs/>
                <w:sz w:val="24"/>
                <w:szCs w:val="24"/>
              </w:rPr>
            </w:pPr>
            <w:r>
              <w:rPr>
                <w:rFonts w:hint="eastAsia" w:ascii="仿宋" w:hAnsi="仿宋" w:eastAsia="仿宋"/>
                <w:b/>
                <w:bCs/>
                <w:sz w:val="24"/>
                <w:szCs w:val="24"/>
              </w:rPr>
              <w:t>方式</w:t>
            </w:r>
          </w:p>
        </w:tc>
        <w:tc>
          <w:tcPr>
            <w:tcW w:w="535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仿宋" w:hAnsi="仿宋" w:eastAsia="仿宋"/>
                <w:b/>
                <w:bCs/>
                <w:sz w:val="24"/>
                <w:szCs w:val="24"/>
              </w:rPr>
            </w:pPr>
            <w:r>
              <w:rPr>
                <w:rFonts w:hint="eastAsia" w:ascii="仿宋" w:hAnsi="仿宋" w:eastAsia="仿宋"/>
                <w:b/>
                <w:bCs/>
                <w:sz w:val="24"/>
                <w:szCs w:val="24"/>
              </w:rPr>
              <w:t>评分细则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743"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sz w:val="24"/>
                <w:szCs w:val="24"/>
              </w:rPr>
            </w:pPr>
            <w:r>
              <w:rPr>
                <w:rFonts w:hint="eastAsia" w:ascii="宋体" w:hAnsi="宋体"/>
                <w:sz w:val="24"/>
                <w:szCs w:val="24"/>
              </w:rPr>
              <w:t>1</w:t>
            </w:r>
          </w:p>
        </w:tc>
        <w:tc>
          <w:tcPr>
            <w:tcW w:w="1846"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sz w:val="24"/>
                <w:szCs w:val="24"/>
              </w:rPr>
            </w:pPr>
            <w:r>
              <w:rPr>
                <w:rFonts w:hint="eastAsia" w:ascii="宋体" w:hAnsi="宋体"/>
                <w:sz w:val="24"/>
                <w:szCs w:val="24"/>
              </w:rPr>
              <w:t>项目实施方案（工作措施、工作方法、工作手段、工作流程）</w:t>
            </w:r>
          </w:p>
        </w:tc>
        <w:tc>
          <w:tcPr>
            <w:tcW w:w="764"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sz w:val="24"/>
                <w:szCs w:val="24"/>
              </w:rPr>
            </w:pPr>
            <w:r>
              <w:rPr>
                <w:rFonts w:hint="eastAsia" w:ascii="宋体" w:hAnsi="宋体"/>
                <w:sz w:val="24"/>
                <w:szCs w:val="24"/>
              </w:rPr>
              <w:t>25</w:t>
            </w:r>
          </w:p>
        </w:tc>
        <w:tc>
          <w:tcPr>
            <w:tcW w:w="810"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sz w:val="24"/>
                <w:szCs w:val="24"/>
              </w:rPr>
            </w:pPr>
            <w:r>
              <w:rPr>
                <w:rFonts w:hint="eastAsia" w:ascii="宋体" w:hAnsi="宋体"/>
                <w:sz w:val="24"/>
                <w:szCs w:val="24"/>
              </w:rPr>
              <w:t>评委</w:t>
            </w:r>
          </w:p>
          <w:p>
            <w:pPr>
              <w:spacing w:line="300" w:lineRule="auto"/>
              <w:jc w:val="center"/>
              <w:rPr>
                <w:rFonts w:ascii="宋体" w:hAnsi="宋体"/>
                <w:sz w:val="24"/>
                <w:szCs w:val="24"/>
              </w:rPr>
            </w:pPr>
            <w:r>
              <w:rPr>
                <w:rFonts w:hint="eastAsia" w:ascii="宋体" w:hAnsi="宋体"/>
                <w:sz w:val="24"/>
                <w:szCs w:val="24"/>
              </w:rPr>
              <w:t>评</w:t>
            </w:r>
            <w:r>
              <w:rPr>
                <w:rFonts w:ascii="宋体" w:hAnsi="宋体"/>
                <w:sz w:val="24"/>
                <w:szCs w:val="24"/>
              </w:rPr>
              <w:t>分</w:t>
            </w:r>
          </w:p>
        </w:tc>
        <w:tc>
          <w:tcPr>
            <w:tcW w:w="5352"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sz w:val="24"/>
                <w:szCs w:val="24"/>
              </w:rPr>
            </w:pPr>
            <w:r>
              <w:rPr>
                <w:rFonts w:hint="eastAsia" w:ascii="宋体" w:hAnsi="宋体"/>
                <w:sz w:val="24"/>
                <w:szCs w:val="24"/>
              </w:rPr>
              <w:t>投标人提供实施方案的全面性，服务内容的完整性、可操作性给予打分。根据招标文件的需求和投标文件响应情况进行评审：</w:t>
            </w:r>
          </w:p>
          <w:p>
            <w:pPr>
              <w:spacing w:line="360" w:lineRule="auto"/>
              <w:jc w:val="left"/>
              <w:rPr>
                <w:rFonts w:hint="eastAsia" w:ascii="宋体" w:hAnsi="宋体"/>
                <w:sz w:val="24"/>
                <w:szCs w:val="24"/>
              </w:rPr>
            </w:pPr>
            <w:r>
              <w:rPr>
                <w:rFonts w:hint="eastAsia" w:ascii="宋体" w:hAnsi="宋体"/>
                <w:sz w:val="24"/>
                <w:szCs w:val="24"/>
              </w:rPr>
              <w:t>（1）实施方案内容全面；</w:t>
            </w:r>
          </w:p>
          <w:p>
            <w:pPr>
              <w:spacing w:line="360" w:lineRule="auto"/>
              <w:jc w:val="left"/>
              <w:rPr>
                <w:rFonts w:hint="eastAsia" w:ascii="宋体" w:hAnsi="宋体"/>
                <w:sz w:val="24"/>
                <w:szCs w:val="24"/>
              </w:rPr>
            </w:pPr>
            <w:r>
              <w:rPr>
                <w:rFonts w:hint="eastAsia" w:ascii="宋体" w:hAnsi="宋体"/>
                <w:sz w:val="24"/>
                <w:szCs w:val="24"/>
              </w:rPr>
              <w:t>（2）实施方案内容具体，表达清晰、完成、严谨；</w:t>
            </w:r>
          </w:p>
          <w:p>
            <w:pPr>
              <w:spacing w:line="360" w:lineRule="auto"/>
              <w:jc w:val="left"/>
              <w:rPr>
                <w:rFonts w:hint="eastAsia" w:ascii="宋体" w:hAnsi="宋体"/>
                <w:sz w:val="24"/>
                <w:szCs w:val="24"/>
              </w:rPr>
            </w:pPr>
            <w:r>
              <w:rPr>
                <w:rFonts w:hint="eastAsia" w:ascii="宋体" w:hAnsi="宋体"/>
                <w:sz w:val="24"/>
                <w:szCs w:val="24"/>
              </w:rPr>
              <w:t>（3）实施方案内容针对性强；</w:t>
            </w:r>
          </w:p>
          <w:p>
            <w:pPr>
              <w:spacing w:line="360" w:lineRule="auto"/>
              <w:jc w:val="left"/>
              <w:rPr>
                <w:rFonts w:hint="eastAsia" w:ascii="宋体" w:hAnsi="宋体"/>
                <w:sz w:val="24"/>
                <w:szCs w:val="24"/>
              </w:rPr>
            </w:pPr>
            <w:r>
              <w:rPr>
                <w:rFonts w:hint="eastAsia" w:ascii="宋体" w:hAnsi="宋体"/>
                <w:sz w:val="24"/>
                <w:szCs w:val="24"/>
              </w:rPr>
              <w:t>（4）实施方案内容先进，科学合理；</w:t>
            </w:r>
          </w:p>
          <w:p>
            <w:pPr>
              <w:spacing w:line="360" w:lineRule="auto"/>
              <w:jc w:val="left"/>
              <w:rPr>
                <w:rFonts w:hint="eastAsia" w:ascii="宋体" w:hAnsi="宋体"/>
                <w:sz w:val="24"/>
                <w:szCs w:val="24"/>
              </w:rPr>
            </w:pPr>
            <w:r>
              <w:rPr>
                <w:rFonts w:hint="eastAsia" w:ascii="宋体" w:hAnsi="宋体"/>
                <w:sz w:val="24"/>
                <w:szCs w:val="24"/>
              </w:rPr>
              <w:t>（5）实施方案内容可操作性强。</w:t>
            </w:r>
          </w:p>
          <w:p>
            <w:pPr>
              <w:spacing w:line="360" w:lineRule="auto"/>
              <w:jc w:val="left"/>
              <w:rPr>
                <w:rFonts w:hint="eastAsia" w:ascii="宋体" w:hAnsi="宋体"/>
                <w:sz w:val="24"/>
                <w:szCs w:val="24"/>
              </w:rPr>
            </w:pPr>
            <w:r>
              <w:rPr>
                <w:rFonts w:hint="eastAsia" w:ascii="宋体" w:hAnsi="宋体"/>
                <w:sz w:val="24"/>
                <w:szCs w:val="24"/>
              </w:rPr>
              <w:t>评审标准：满足以上五项要求得15分，满足以上四项要求得12分，满足以上三项要求得9分，满足以上二项要求得6分，满足以上一项要求得3分，其他情况不得分。</w:t>
            </w:r>
          </w:p>
          <w:p>
            <w:pPr>
              <w:spacing w:line="360" w:lineRule="auto"/>
              <w:jc w:val="left"/>
              <w:rPr>
                <w:rFonts w:hint="eastAsia" w:ascii="宋体" w:hAnsi="宋体"/>
                <w:sz w:val="24"/>
                <w:szCs w:val="24"/>
              </w:rPr>
            </w:pPr>
            <w:r>
              <w:rPr>
                <w:rFonts w:hint="eastAsia" w:ascii="宋体" w:hAnsi="宋体"/>
                <w:sz w:val="24"/>
                <w:szCs w:val="24"/>
              </w:rPr>
              <w:t>在此基础上，评委根据各投标人的具体响应内容进行综合评价：评审为优的加10分，评审为良的加8分，评审为中的加5分，评审为差的得0分。</w:t>
            </w:r>
          </w:p>
          <w:p>
            <w:pPr>
              <w:spacing w:line="360" w:lineRule="auto"/>
              <w:jc w:val="left"/>
              <w:rPr>
                <w:rFonts w:hint="eastAsia" w:ascii="宋体" w:hAnsi="宋体"/>
                <w:sz w:val="24"/>
                <w:szCs w:val="24"/>
              </w:rPr>
            </w:pPr>
            <w:r>
              <w:rPr>
                <w:rFonts w:hint="eastAsia" w:ascii="宋体" w:hAnsi="宋体"/>
                <w:sz w:val="24"/>
                <w:szCs w:val="24"/>
              </w:rPr>
              <w:t>备注：评审为差，需书面说明理由，并记录在档。评分中出现无证明资料，或专家无法凭所提供资料判断是否得分的情况，一律作不得分处理。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743"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sz w:val="24"/>
                <w:szCs w:val="24"/>
              </w:rPr>
            </w:pPr>
            <w:r>
              <w:rPr>
                <w:rFonts w:hint="eastAsia" w:ascii="宋体" w:hAnsi="宋体"/>
                <w:sz w:val="24"/>
                <w:szCs w:val="24"/>
              </w:rPr>
              <w:t>2</w:t>
            </w:r>
          </w:p>
        </w:tc>
        <w:tc>
          <w:tcPr>
            <w:tcW w:w="1846"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sz w:val="24"/>
                <w:szCs w:val="24"/>
              </w:rPr>
            </w:pPr>
            <w:r>
              <w:rPr>
                <w:rFonts w:hint="eastAsia" w:ascii="宋体" w:hAnsi="宋体"/>
                <w:sz w:val="24"/>
                <w:szCs w:val="24"/>
              </w:rPr>
              <w:t>项目重点难点分析、应对措施及相关合理化建议</w:t>
            </w:r>
          </w:p>
        </w:tc>
        <w:tc>
          <w:tcPr>
            <w:tcW w:w="764"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hint="eastAsia" w:ascii="宋体" w:hAnsi="宋体"/>
                <w:sz w:val="24"/>
                <w:szCs w:val="24"/>
              </w:rPr>
            </w:pPr>
            <w:r>
              <w:rPr>
                <w:rFonts w:hint="eastAsia" w:ascii="宋体" w:hAnsi="宋体"/>
                <w:sz w:val="24"/>
                <w:szCs w:val="24"/>
              </w:rPr>
              <w:t>25</w:t>
            </w:r>
          </w:p>
        </w:tc>
        <w:tc>
          <w:tcPr>
            <w:tcW w:w="810"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sz w:val="24"/>
                <w:szCs w:val="24"/>
              </w:rPr>
            </w:pPr>
            <w:r>
              <w:rPr>
                <w:rFonts w:hint="eastAsia" w:ascii="宋体" w:hAnsi="宋体"/>
                <w:sz w:val="24"/>
                <w:szCs w:val="24"/>
              </w:rPr>
              <w:t>评委</w:t>
            </w:r>
          </w:p>
          <w:p>
            <w:pPr>
              <w:spacing w:line="300" w:lineRule="auto"/>
              <w:jc w:val="center"/>
              <w:rPr>
                <w:rFonts w:ascii="宋体" w:hAnsi="宋体"/>
                <w:sz w:val="24"/>
                <w:szCs w:val="24"/>
              </w:rPr>
            </w:pPr>
            <w:r>
              <w:rPr>
                <w:rFonts w:hint="eastAsia" w:ascii="宋体" w:hAnsi="宋体"/>
                <w:sz w:val="24"/>
                <w:szCs w:val="24"/>
              </w:rPr>
              <w:t>评分</w:t>
            </w:r>
          </w:p>
        </w:tc>
        <w:tc>
          <w:tcPr>
            <w:tcW w:w="5352"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sz w:val="24"/>
                <w:szCs w:val="24"/>
              </w:rPr>
            </w:pPr>
            <w:r>
              <w:rPr>
                <w:rFonts w:hint="eastAsia" w:ascii="宋体" w:hAnsi="宋体"/>
                <w:sz w:val="24"/>
                <w:szCs w:val="24"/>
              </w:rPr>
              <w:t>对项目实施重点与难点进行分析，分析到位、合理、深入，且对重点难点有明确的应对措施。</w:t>
            </w:r>
          </w:p>
          <w:p>
            <w:pPr>
              <w:spacing w:line="360" w:lineRule="auto"/>
              <w:jc w:val="left"/>
              <w:rPr>
                <w:rFonts w:hint="eastAsia" w:ascii="宋体" w:hAnsi="宋体"/>
                <w:sz w:val="24"/>
                <w:szCs w:val="24"/>
              </w:rPr>
            </w:pPr>
            <w:r>
              <w:rPr>
                <w:rFonts w:hint="eastAsia" w:ascii="宋体" w:hAnsi="宋体"/>
                <w:sz w:val="24"/>
                <w:szCs w:val="24"/>
              </w:rPr>
              <w:t>评分依据：</w:t>
            </w:r>
          </w:p>
          <w:p>
            <w:pPr>
              <w:spacing w:line="360" w:lineRule="auto"/>
              <w:jc w:val="left"/>
              <w:rPr>
                <w:rFonts w:hint="eastAsia" w:ascii="宋体" w:hAnsi="宋体"/>
                <w:sz w:val="24"/>
                <w:szCs w:val="24"/>
              </w:rPr>
            </w:pPr>
            <w:r>
              <w:rPr>
                <w:rFonts w:hint="eastAsia" w:ascii="宋体" w:hAnsi="宋体"/>
                <w:sz w:val="24"/>
                <w:szCs w:val="24"/>
              </w:rPr>
              <w:t>（1）项目重点难点分析、应对措施及相关合理化建议内容全面；</w:t>
            </w:r>
          </w:p>
          <w:p>
            <w:pPr>
              <w:spacing w:line="360" w:lineRule="auto"/>
              <w:jc w:val="left"/>
              <w:rPr>
                <w:rFonts w:hint="eastAsia" w:ascii="宋体" w:hAnsi="宋体"/>
                <w:sz w:val="24"/>
                <w:szCs w:val="24"/>
              </w:rPr>
            </w:pPr>
            <w:r>
              <w:rPr>
                <w:rFonts w:hint="eastAsia" w:ascii="宋体" w:hAnsi="宋体"/>
                <w:sz w:val="24"/>
                <w:szCs w:val="24"/>
              </w:rPr>
              <w:t>（2）项目重点难点分析、应对措施及相关合理化建议内容具体，表达清晰、完整、严谨；</w:t>
            </w:r>
          </w:p>
          <w:p>
            <w:pPr>
              <w:spacing w:line="360" w:lineRule="auto"/>
              <w:jc w:val="left"/>
              <w:rPr>
                <w:rFonts w:hint="eastAsia" w:ascii="宋体" w:hAnsi="宋体"/>
                <w:sz w:val="24"/>
                <w:szCs w:val="24"/>
              </w:rPr>
            </w:pPr>
            <w:r>
              <w:rPr>
                <w:rFonts w:hint="eastAsia" w:ascii="宋体" w:hAnsi="宋体"/>
                <w:sz w:val="24"/>
                <w:szCs w:val="24"/>
              </w:rPr>
              <w:t>（3）项目重点难点分析、应对措施及相关合理化建议内容针对性强；</w:t>
            </w:r>
          </w:p>
          <w:p>
            <w:pPr>
              <w:spacing w:line="360" w:lineRule="auto"/>
              <w:jc w:val="left"/>
              <w:rPr>
                <w:rFonts w:hint="eastAsia" w:ascii="宋体" w:hAnsi="宋体"/>
                <w:sz w:val="24"/>
                <w:szCs w:val="24"/>
              </w:rPr>
            </w:pPr>
            <w:r>
              <w:rPr>
                <w:rFonts w:hint="eastAsia" w:ascii="宋体" w:hAnsi="宋体"/>
                <w:sz w:val="24"/>
                <w:szCs w:val="24"/>
              </w:rPr>
              <w:t>（4）项目重点难点分析、应对措施及相关合理化建议内容先进，科学合理；</w:t>
            </w:r>
          </w:p>
          <w:p>
            <w:pPr>
              <w:spacing w:line="360" w:lineRule="auto"/>
              <w:jc w:val="left"/>
              <w:rPr>
                <w:rFonts w:hint="eastAsia" w:ascii="宋体" w:hAnsi="宋体"/>
                <w:sz w:val="24"/>
                <w:szCs w:val="24"/>
              </w:rPr>
            </w:pPr>
            <w:r>
              <w:rPr>
                <w:rFonts w:hint="eastAsia" w:ascii="宋体" w:hAnsi="宋体"/>
                <w:sz w:val="24"/>
                <w:szCs w:val="24"/>
              </w:rPr>
              <w:t>（5）项目重点难点分析、应对措施及相关合理化建议内容可操作性强。</w:t>
            </w:r>
          </w:p>
          <w:p>
            <w:pPr>
              <w:spacing w:line="360" w:lineRule="auto"/>
              <w:jc w:val="left"/>
              <w:rPr>
                <w:rFonts w:hint="eastAsia" w:ascii="宋体" w:hAnsi="宋体"/>
                <w:sz w:val="24"/>
                <w:szCs w:val="24"/>
              </w:rPr>
            </w:pPr>
            <w:r>
              <w:rPr>
                <w:rFonts w:hint="eastAsia" w:ascii="宋体" w:hAnsi="宋体"/>
                <w:sz w:val="24"/>
                <w:szCs w:val="24"/>
              </w:rPr>
              <w:t>评审标准：满足以上五项要求得15分，满足以上四项要求得12分，满足以上三项要求得9分，满足以上二项要求得6分，满足以上一项要求得3分，其他情况不得分。</w:t>
            </w:r>
          </w:p>
          <w:p>
            <w:pPr>
              <w:spacing w:line="360" w:lineRule="auto"/>
              <w:jc w:val="left"/>
              <w:rPr>
                <w:rFonts w:hint="eastAsia" w:ascii="宋体" w:hAnsi="宋体"/>
                <w:sz w:val="24"/>
                <w:szCs w:val="24"/>
              </w:rPr>
            </w:pPr>
            <w:r>
              <w:rPr>
                <w:rFonts w:hint="eastAsia" w:ascii="宋体" w:hAnsi="宋体"/>
                <w:sz w:val="24"/>
                <w:szCs w:val="24"/>
              </w:rPr>
              <w:t>在此基础上，评委根据各投标人的具体响应内容进行综合评价：评审为优的加10分，评审为良的加8分，评审为中的加5分，评审为差的得0分。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743"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hint="eastAsia" w:ascii="宋体" w:hAnsi="宋体"/>
                <w:sz w:val="24"/>
                <w:szCs w:val="24"/>
              </w:rPr>
            </w:pPr>
            <w:r>
              <w:rPr>
                <w:rFonts w:hint="eastAsia" w:ascii="宋体" w:hAnsi="宋体"/>
                <w:sz w:val="24"/>
                <w:szCs w:val="24"/>
              </w:rPr>
              <w:t>3</w:t>
            </w:r>
          </w:p>
        </w:tc>
        <w:tc>
          <w:tcPr>
            <w:tcW w:w="1846"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hint="eastAsia" w:ascii="宋体" w:hAnsi="宋体"/>
                <w:sz w:val="24"/>
                <w:szCs w:val="24"/>
              </w:rPr>
            </w:pPr>
            <w:r>
              <w:rPr>
                <w:rFonts w:hint="eastAsia" w:ascii="宋体" w:hAnsi="宋体"/>
                <w:sz w:val="24"/>
                <w:szCs w:val="24"/>
              </w:rPr>
              <w:t>质量保障措施及方案</w:t>
            </w:r>
          </w:p>
        </w:tc>
        <w:tc>
          <w:tcPr>
            <w:tcW w:w="764"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sz w:val="24"/>
                <w:szCs w:val="24"/>
              </w:rPr>
            </w:pPr>
            <w:r>
              <w:rPr>
                <w:rFonts w:hint="eastAsia" w:ascii="宋体" w:hAnsi="宋体"/>
                <w:sz w:val="24"/>
                <w:szCs w:val="24"/>
              </w:rPr>
              <w:t>20</w:t>
            </w:r>
          </w:p>
        </w:tc>
        <w:tc>
          <w:tcPr>
            <w:tcW w:w="810"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sz w:val="24"/>
                <w:szCs w:val="24"/>
              </w:rPr>
            </w:pPr>
            <w:r>
              <w:rPr>
                <w:rFonts w:hint="eastAsia" w:ascii="宋体" w:hAnsi="宋体"/>
                <w:sz w:val="24"/>
                <w:szCs w:val="24"/>
              </w:rPr>
              <w:t>评委</w:t>
            </w:r>
          </w:p>
          <w:p>
            <w:pPr>
              <w:spacing w:line="300" w:lineRule="auto"/>
              <w:jc w:val="center"/>
              <w:rPr>
                <w:rFonts w:hint="eastAsia" w:ascii="宋体" w:hAnsi="宋体"/>
                <w:sz w:val="24"/>
                <w:szCs w:val="24"/>
              </w:rPr>
            </w:pPr>
            <w:r>
              <w:rPr>
                <w:rFonts w:hint="eastAsia" w:ascii="宋体" w:hAnsi="宋体"/>
                <w:sz w:val="24"/>
                <w:szCs w:val="24"/>
              </w:rPr>
              <w:t>评分</w:t>
            </w:r>
          </w:p>
        </w:tc>
        <w:tc>
          <w:tcPr>
            <w:tcW w:w="5352"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sz w:val="24"/>
                <w:szCs w:val="24"/>
              </w:rPr>
            </w:pPr>
            <w:r>
              <w:rPr>
                <w:rFonts w:hint="eastAsia" w:ascii="宋体" w:hAnsi="宋体"/>
                <w:sz w:val="24"/>
                <w:szCs w:val="24"/>
              </w:rPr>
              <w:t>对项目服务要求制定质量保障措施及方案，方案切合实际、完整、详实、可操作性强。</w:t>
            </w:r>
          </w:p>
          <w:p>
            <w:pPr>
              <w:spacing w:line="360" w:lineRule="auto"/>
              <w:jc w:val="left"/>
              <w:rPr>
                <w:rFonts w:hint="eastAsia" w:ascii="宋体" w:hAnsi="宋体"/>
                <w:sz w:val="24"/>
                <w:szCs w:val="24"/>
              </w:rPr>
            </w:pPr>
            <w:r>
              <w:rPr>
                <w:rFonts w:hint="eastAsia" w:ascii="宋体" w:hAnsi="宋体"/>
                <w:sz w:val="24"/>
                <w:szCs w:val="24"/>
              </w:rPr>
              <w:t>（1）质量保障措施及方案内容全面；</w:t>
            </w:r>
          </w:p>
          <w:p>
            <w:pPr>
              <w:spacing w:line="360" w:lineRule="auto"/>
              <w:jc w:val="left"/>
              <w:rPr>
                <w:rFonts w:hint="eastAsia" w:ascii="宋体" w:hAnsi="宋体"/>
                <w:sz w:val="24"/>
                <w:szCs w:val="24"/>
              </w:rPr>
            </w:pPr>
            <w:r>
              <w:rPr>
                <w:rFonts w:hint="eastAsia" w:ascii="宋体" w:hAnsi="宋体"/>
                <w:sz w:val="24"/>
                <w:szCs w:val="24"/>
              </w:rPr>
              <w:t>（2）质量保障措施及方案内容具体，表达清晰、完整、严谨；</w:t>
            </w:r>
          </w:p>
          <w:p>
            <w:pPr>
              <w:spacing w:line="360" w:lineRule="auto"/>
              <w:jc w:val="left"/>
              <w:rPr>
                <w:rFonts w:hint="eastAsia" w:ascii="宋体" w:hAnsi="宋体"/>
                <w:sz w:val="24"/>
                <w:szCs w:val="24"/>
              </w:rPr>
            </w:pPr>
            <w:r>
              <w:rPr>
                <w:rFonts w:hint="eastAsia" w:ascii="宋体" w:hAnsi="宋体"/>
                <w:sz w:val="24"/>
                <w:szCs w:val="24"/>
              </w:rPr>
              <w:t>（3）质量保障措施及方案内容针对性强；</w:t>
            </w:r>
          </w:p>
          <w:p>
            <w:pPr>
              <w:spacing w:line="360" w:lineRule="auto"/>
              <w:jc w:val="left"/>
              <w:rPr>
                <w:rFonts w:hint="eastAsia" w:ascii="宋体" w:hAnsi="宋体"/>
                <w:sz w:val="24"/>
                <w:szCs w:val="24"/>
              </w:rPr>
            </w:pPr>
            <w:r>
              <w:rPr>
                <w:rFonts w:hint="eastAsia" w:ascii="宋体" w:hAnsi="宋体"/>
                <w:sz w:val="24"/>
                <w:szCs w:val="24"/>
              </w:rPr>
              <w:t>（4）质量保障措施及方案内容先进，科学合理；</w:t>
            </w:r>
          </w:p>
          <w:p>
            <w:pPr>
              <w:spacing w:line="360" w:lineRule="auto"/>
              <w:jc w:val="left"/>
              <w:rPr>
                <w:rFonts w:hint="eastAsia" w:ascii="宋体" w:hAnsi="宋体"/>
                <w:sz w:val="24"/>
                <w:szCs w:val="24"/>
              </w:rPr>
            </w:pPr>
            <w:r>
              <w:rPr>
                <w:rFonts w:hint="eastAsia" w:ascii="宋体" w:hAnsi="宋体"/>
                <w:sz w:val="24"/>
                <w:szCs w:val="24"/>
              </w:rPr>
              <w:t>（5）质量保障措施及方案内容可操作性强。</w:t>
            </w:r>
          </w:p>
          <w:p>
            <w:pPr>
              <w:spacing w:line="360" w:lineRule="auto"/>
              <w:jc w:val="left"/>
              <w:rPr>
                <w:rFonts w:hint="eastAsia" w:ascii="宋体" w:hAnsi="宋体"/>
                <w:sz w:val="24"/>
                <w:szCs w:val="24"/>
              </w:rPr>
            </w:pPr>
            <w:r>
              <w:rPr>
                <w:rFonts w:hint="eastAsia" w:ascii="宋体" w:hAnsi="宋体"/>
                <w:sz w:val="24"/>
                <w:szCs w:val="24"/>
              </w:rPr>
              <w:t>评审标准：满足以上五</w:t>
            </w:r>
            <w:r>
              <w:rPr>
                <w:rFonts w:hint="eastAsia" w:ascii="宋体" w:hAnsi="宋体"/>
                <w:sz w:val="24"/>
                <w:szCs w:val="24"/>
                <w:lang w:eastAsia="zh-CN"/>
              </w:rPr>
              <w:t>项</w:t>
            </w:r>
            <w:r>
              <w:rPr>
                <w:rFonts w:hint="eastAsia" w:ascii="宋体" w:hAnsi="宋体"/>
                <w:sz w:val="24"/>
                <w:szCs w:val="24"/>
              </w:rPr>
              <w:t>要求得10分，满足以上四项要求得8分，满足以上三</w:t>
            </w:r>
            <w:r>
              <w:rPr>
                <w:rFonts w:hint="eastAsia" w:ascii="宋体" w:hAnsi="宋体"/>
                <w:sz w:val="24"/>
                <w:szCs w:val="24"/>
                <w:lang w:eastAsia="zh-CN"/>
              </w:rPr>
              <w:t>项</w:t>
            </w:r>
            <w:r>
              <w:rPr>
                <w:rFonts w:hint="eastAsia" w:ascii="宋体" w:hAnsi="宋体"/>
                <w:sz w:val="24"/>
                <w:szCs w:val="24"/>
              </w:rPr>
              <w:t>要求得6分，满足以上二</w:t>
            </w:r>
            <w:r>
              <w:rPr>
                <w:rFonts w:hint="eastAsia" w:ascii="宋体" w:hAnsi="宋体"/>
                <w:sz w:val="24"/>
                <w:szCs w:val="24"/>
                <w:lang w:eastAsia="zh-CN"/>
              </w:rPr>
              <w:t>项</w:t>
            </w:r>
            <w:r>
              <w:rPr>
                <w:rFonts w:hint="eastAsia" w:ascii="宋体" w:hAnsi="宋体"/>
                <w:sz w:val="24"/>
                <w:szCs w:val="24"/>
              </w:rPr>
              <w:t>要求得4分，满足以上一</w:t>
            </w:r>
            <w:r>
              <w:rPr>
                <w:rFonts w:hint="eastAsia" w:ascii="宋体" w:hAnsi="宋体"/>
                <w:sz w:val="24"/>
                <w:szCs w:val="24"/>
                <w:lang w:eastAsia="zh-CN"/>
              </w:rPr>
              <w:t>项</w:t>
            </w:r>
            <w:r>
              <w:rPr>
                <w:rFonts w:hint="eastAsia" w:ascii="宋体" w:hAnsi="宋体"/>
                <w:sz w:val="24"/>
                <w:szCs w:val="24"/>
              </w:rPr>
              <w:t>要求得2分，其它情况不得分。</w:t>
            </w:r>
          </w:p>
          <w:p>
            <w:pPr>
              <w:spacing w:line="360" w:lineRule="auto"/>
              <w:jc w:val="left"/>
              <w:rPr>
                <w:rFonts w:hint="eastAsia" w:ascii="宋体" w:hAnsi="宋体"/>
                <w:sz w:val="24"/>
                <w:szCs w:val="24"/>
              </w:rPr>
            </w:pPr>
            <w:r>
              <w:rPr>
                <w:rFonts w:hint="eastAsia" w:ascii="宋体" w:hAnsi="宋体"/>
                <w:sz w:val="24"/>
                <w:szCs w:val="24"/>
              </w:rPr>
              <w:t>在此基础上，评委根据投标人的具体响应内容进行综合评价：评审为优的加10分，评审为良的加8分，评审为中的加5分，评审为差的得0分。</w:t>
            </w:r>
          </w:p>
          <w:p>
            <w:pPr>
              <w:spacing w:line="360" w:lineRule="auto"/>
              <w:jc w:val="left"/>
              <w:rPr>
                <w:rFonts w:hint="eastAsia" w:ascii="宋体" w:hAnsi="宋体"/>
                <w:sz w:val="24"/>
                <w:szCs w:val="24"/>
              </w:rPr>
            </w:pPr>
            <w:r>
              <w:rPr>
                <w:rFonts w:hint="eastAsia" w:ascii="宋体" w:hAnsi="宋体"/>
                <w:sz w:val="24"/>
                <w:szCs w:val="24"/>
              </w:rPr>
              <w:t>备注：评审为差，需书面说明理由，并记录在档。评分中出现无证明资料或专家无法凭所提供资料判断是否得分的情况，一律作不得分处理。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743"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sz w:val="24"/>
                <w:szCs w:val="24"/>
              </w:rPr>
            </w:pPr>
            <w:r>
              <w:rPr>
                <w:rFonts w:hint="eastAsia" w:ascii="宋体" w:hAnsi="宋体"/>
                <w:sz w:val="24"/>
                <w:szCs w:val="24"/>
              </w:rPr>
              <w:t>4</w:t>
            </w:r>
          </w:p>
        </w:tc>
        <w:tc>
          <w:tcPr>
            <w:tcW w:w="1846"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sz w:val="24"/>
                <w:szCs w:val="24"/>
              </w:rPr>
            </w:pPr>
            <w:r>
              <w:rPr>
                <w:rFonts w:hint="eastAsia" w:ascii="宋体" w:hAnsi="宋体"/>
                <w:sz w:val="24"/>
                <w:szCs w:val="24"/>
              </w:rPr>
              <w:t>项目完成（服务期满）后的服务承诺</w:t>
            </w:r>
          </w:p>
        </w:tc>
        <w:tc>
          <w:tcPr>
            <w:tcW w:w="764"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sz w:val="24"/>
                <w:szCs w:val="24"/>
              </w:rPr>
            </w:pPr>
            <w:r>
              <w:rPr>
                <w:rFonts w:hint="eastAsia" w:ascii="宋体" w:hAnsi="宋体"/>
                <w:sz w:val="24"/>
                <w:szCs w:val="24"/>
              </w:rPr>
              <w:t>5</w:t>
            </w:r>
          </w:p>
        </w:tc>
        <w:tc>
          <w:tcPr>
            <w:tcW w:w="810"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sz w:val="24"/>
                <w:szCs w:val="24"/>
              </w:rPr>
            </w:pPr>
            <w:r>
              <w:rPr>
                <w:rFonts w:hint="eastAsia" w:ascii="宋体" w:hAnsi="宋体"/>
                <w:sz w:val="24"/>
                <w:szCs w:val="24"/>
              </w:rPr>
              <w:t>评委</w:t>
            </w:r>
          </w:p>
          <w:p>
            <w:pPr>
              <w:spacing w:line="300" w:lineRule="auto"/>
              <w:jc w:val="center"/>
              <w:rPr>
                <w:rFonts w:ascii="宋体" w:hAnsi="宋体"/>
                <w:sz w:val="24"/>
                <w:szCs w:val="24"/>
              </w:rPr>
            </w:pPr>
            <w:r>
              <w:rPr>
                <w:rFonts w:hint="eastAsia" w:ascii="宋体" w:hAnsi="宋体"/>
                <w:sz w:val="24"/>
                <w:szCs w:val="24"/>
              </w:rPr>
              <w:t>评分</w:t>
            </w:r>
          </w:p>
        </w:tc>
        <w:tc>
          <w:tcPr>
            <w:tcW w:w="5352"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sz w:val="24"/>
                <w:szCs w:val="24"/>
              </w:rPr>
            </w:pPr>
            <w:r>
              <w:rPr>
                <w:rFonts w:hint="eastAsia" w:ascii="宋体" w:hAnsi="宋体"/>
                <w:sz w:val="24"/>
                <w:szCs w:val="24"/>
              </w:rPr>
              <w:t>提供承诺（格式自拟），“承诺提供</w:t>
            </w:r>
            <w:r>
              <w:rPr>
                <w:rFonts w:hint="eastAsia" w:ascii="宋体" w:hAnsi="宋体"/>
                <w:sz w:val="24"/>
                <w:szCs w:val="24"/>
                <w:lang w:eastAsia="zh-CN"/>
              </w:rPr>
              <w:t>项目</w:t>
            </w:r>
            <w:r>
              <w:rPr>
                <w:rFonts w:hint="eastAsia" w:ascii="宋体" w:hAnsi="宋体"/>
                <w:sz w:val="24"/>
                <w:szCs w:val="24"/>
              </w:rPr>
              <w:t>完成后的具体服务措施及服务，</w:t>
            </w:r>
            <w:r>
              <w:rPr>
                <w:rFonts w:hint="eastAsia" w:ascii="宋体" w:hAnsi="宋体"/>
                <w:sz w:val="24"/>
                <w:szCs w:val="24"/>
                <w:lang w:eastAsia="zh-CN"/>
              </w:rPr>
              <w:t>项目</w:t>
            </w:r>
            <w:r>
              <w:rPr>
                <w:rFonts w:hint="eastAsia" w:ascii="宋体" w:hAnsi="宋体"/>
                <w:sz w:val="24"/>
                <w:szCs w:val="24"/>
              </w:rPr>
              <w:t>完成后发现问题的改进方法的流程控制。”得5分，未提供承诺或承诺内容不满足要求不得分。评分中出现无证明资料或专家无法凭所提供资料判断是否得分的情况，一律作不得分处理。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63"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4"/>
                <w:szCs w:val="24"/>
              </w:rPr>
            </w:pPr>
            <w:r>
              <w:rPr>
                <w:rFonts w:hint="eastAsia" w:ascii="宋体" w:hAnsi="宋体"/>
                <w:sz w:val="24"/>
                <w:szCs w:val="24"/>
              </w:rPr>
              <w:t>（三）商务</w:t>
            </w:r>
          </w:p>
        </w:tc>
        <w:tc>
          <w:tcPr>
            <w:tcW w:w="535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4"/>
                <w:szCs w:val="24"/>
              </w:rPr>
            </w:pPr>
            <w:r>
              <w:rPr>
                <w:rFonts w:hint="eastAsia" w:ascii="宋体" w:hAnsi="宋体"/>
                <w:sz w:val="24"/>
                <w:szCs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 w:hRule="atLeast"/>
          <w:jc w:val="center"/>
        </w:trPr>
        <w:tc>
          <w:tcPr>
            <w:tcW w:w="74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仿宋" w:hAnsi="仿宋" w:eastAsia="仿宋"/>
                <w:b/>
                <w:bCs/>
                <w:sz w:val="24"/>
                <w:szCs w:val="24"/>
              </w:rPr>
            </w:pPr>
            <w:r>
              <w:rPr>
                <w:rFonts w:hint="eastAsia" w:ascii="仿宋" w:hAnsi="仿宋" w:eastAsia="仿宋"/>
                <w:b/>
                <w:bCs/>
                <w:sz w:val="24"/>
                <w:szCs w:val="24"/>
              </w:rPr>
              <w:t>序号</w:t>
            </w:r>
          </w:p>
        </w:tc>
        <w:tc>
          <w:tcPr>
            <w:tcW w:w="184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仿宋" w:hAnsi="仿宋" w:eastAsia="仿宋"/>
                <w:b/>
                <w:bCs/>
                <w:sz w:val="24"/>
                <w:szCs w:val="24"/>
              </w:rPr>
            </w:pPr>
            <w:r>
              <w:rPr>
                <w:rFonts w:hint="eastAsia" w:ascii="仿宋" w:hAnsi="仿宋" w:eastAsia="仿宋"/>
                <w:b/>
                <w:bCs/>
                <w:sz w:val="24"/>
                <w:szCs w:val="24"/>
              </w:rPr>
              <w:t>评分项目</w:t>
            </w:r>
          </w:p>
        </w:tc>
        <w:tc>
          <w:tcPr>
            <w:tcW w:w="76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仿宋" w:hAnsi="仿宋" w:eastAsia="仿宋"/>
                <w:b/>
                <w:bCs/>
                <w:sz w:val="24"/>
                <w:szCs w:val="24"/>
              </w:rPr>
            </w:pPr>
            <w:r>
              <w:rPr>
                <w:rFonts w:hint="eastAsia" w:ascii="仿宋" w:hAnsi="仿宋" w:eastAsia="仿宋"/>
                <w:b/>
                <w:bCs/>
                <w:sz w:val="24"/>
                <w:szCs w:val="24"/>
              </w:rPr>
              <w:t>分值</w:t>
            </w:r>
          </w:p>
        </w:tc>
        <w:tc>
          <w:tcPr>
            <w:tcW w:w="8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仿宋" w:hAnsi="仿宋" w:eastAsia="仿宋"/>
                <w:b/>
                <w:bCs/>
                <w:sz w:val="24"/>
                <w:szCs w:val="24"/>
              </w:rPr>
            </w:pPr>
            <w:r>
              <w:rPr>
                <w:rFonts w:hint="eastAsia" w:ascii="仿宋" w:hAnsi="仿宋" w:eastAsia="仿宋"/>
                <w:b/>
                <w:bCs/>
                <w:sz w:val="24"/>
                <w:szCs w:val="24"/>
              </w:rPr>
              <w:t>评分</w:t>
            </w:r>
          </w:p>
          <w:p>
            <w:pPr>
              <w:spacing w:line="240" w:lineRule="exact"/>
              <w:jc w:val="center"/>
              <w:rPr>
                <w:rFonts w:ascii="仿宋" w:hAnsi="仿宋" w:eastAsia="仿宋"/>
                <w:b/>
                <w:bCs/>
                <w:sz w:val="24"/>
                <w:szCs w:val="24"/>
              </w:rPr>
            </w:pPr>
            <w:r>
              <w:rPr>
                <w:rFonts w:hint="eastAsia" w:ascii="仿宋" w:hAnsi="仿宋" w:eastAsia="仿宋"/>
                <w:b/>
                <w:bCs/>
                <w:sz w:val="24"/>
                <w:szCs w:val="24"/>
              </w:rPr>
              <w:t>方式</w:t>
            </w:r>
          </w:p>
        </w:tc>
        <w:tc>
          <w:tcPr>
            <w:tcW w:w="535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仿宋" w:hAnsi="仿宋" w:eastAsia="仿宋"/>
                <w:b/>
                <w:bCs/>
                <w:sz w:val="24"/>
                <w:szCs w:val="24"/>
              </w:rPr>
            </w:pPr>
            <w:r>
              <w:rPr>
                <w:rFonts w:hint="eastAsia" w:ascii="仿宋" w:hAnsi="仿宋" w:eastAsia="仿宋"/>
                <w:b/>
                <w:bCs/>
                <w:sz w:val="24"/>
                <w:szCs w:val="24"/>
              </w:rPr>
              <w:t>评分细则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43" w:type="dxa"/>
            <w:tcBorders>
              <w:top w:val="single" w:color="auto" w:sz="4" w:space="0"/>
              <w:left w:val="single" w:color="auto" w:sz="4" w:space="0"/>
              <w:bottom w:val="single" w:color="auto" w:sz="4" w:space="0"/>
              <w:right w:val="single" w:color="auto" w:sz="4" w:space="0"/>
            </w:tcBorders>
            <w:vAlign w:val="center"/>
          </w:tcPr>
          <w:p>
            <w:pPr>
              <w:spacing w:line="300" w:lineRule="auto"/>
              <w:jc w:val="left"/>
              <w:rPr>
                <w:rFonts w:ascii="宋体" w:hAnsi="宋体"/>
                <w:sz w:val="24"/>
                <w:szCs w:val="24"/>
              </w:rPr>
            </w:pPr>
            <w:r>
              <w:rPr>
                <w:rFonts w:hint="eastAsia" w:ascii="宋体" w:hAnsi="宋体"/>
                <w:sz w:val="24"/>
                <w:szCs w:val="24"/>
              </w:rPr>
              <w:t>1</w:t>
            </w:r>
          </w:p>
        </w:tc>
        <w:tc>
          <w:tcPr>
            <w:tcW w:w="1846"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hint="eastAsia" w:ascii="宋体" w:hAnsi="宋体"/>
                <w:sz w:val="24"/>
                <w:szCs w:val="24"/>
              </w:rPr>
            </w:pPr>
            <w:r>
              <w:rPr>
                <w:rFonts w:hint="eastAsia" w:ascii="宋体" w:hAnsi="宋体"/>
                <w:sz w:val="24"/>
                <w:szCs w:val="24"/>
              </w:rPr>
              <w:t>同类项目经验</w:t>
            </w:r>
          </w:p>
        </w:tc>
        <w:tc>
          <w:tcPr>
            <w:tcW w:w="764"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hint="eastAsia" w:ascii="宋体" w:hAnsi="宋体"/>
                <w:sz w:val="24"/>
                <w:szCs w:val="24"/>
              </w:rPr>
            </w:pPr>
            <w:r>
              <w:rPr>
                <w:rFonts w:hint="eastAsia" w:ascii="宋体" w:hAnsi="宋体"/>
                <w:sz w:val="24"/>
                <w:szCs w:val="24"/>
              </w:rPr>
              <w:t>7</w:t>
            </w:r>
          </w:p>
        </w:tc>
        <w:tc>
          <w:tcPr>
            <w:tcW w:w="810" w:type="dxa"/>
            <w:tcBorders>
              <w:top w:val="single" w:color="auto" w:sz="4" w:space="0"/>
              <w:left w:val="single" w:color="auto" w:sz="4" w:space="0"/>
              <w:bottom w:val="single" w:color="auto" w:sz="4" w:space="0"/>
              <w:right w:val="single" w:color="auto" w:sz="4" w:space="0"/>
            </w:tcBorders>
            <w:vAlign w:val="center"/>
          </w:tcPr>
          <w:p>
            <w:pPr>
              <w:spacing w:line="300" w:lineRule="auto"/>
              <w:jc w:val="left"/>
              <w:rPr>
                <w:rFonts w:ascii="宋体" w:hAnsi="宋体"/>
                <w:sz w:val="24"/>
                <w:szCs w:val="24"/>
              </w:rPr>
            </w:pPr>
            <w:r>
              <w:rPr>
                <w:rFonts w:hint="eastAsia" w:ascii="宋体" w:hAnsi="宋体"/>
                <w:sz w:val="24"/>
                <w:szCs w:val="24"/>
              </w:rPr>
              <w:t>评委</w:t>
            </w:r>
          </w:p>
          <w:p>
            <w:pPr>
              <w:spacing w:line="300" w:lineRule="auto"/>
              <w:jc w:val="left"/>
              <w:rPr>
                <w:rFonts w:ascii="宋体" w:hAnsi="宋体"/>
                <w:sz w:val="24"/>
                <w:szCs w:val="24"/>
              </w:rPr>
            </w:pPr>
            <w:r>
              <w:rPr>
                <w:rFonts w:hint="eastAsia" w:ascii="宋体" w:hAnsi="宋体"/>
                <w:sz w:val="24"/>
                <w:szCs w:val="24"/>
              </w:rPr>
              <w:t>评分</w:t>
            </w:r>
          </w:p>
        </w:tc>
        <w:tc>
          <w:tcPr>
            <w:tcW w:w="5352" w:type="dxa"/>
            <w:tcBorders>
              <w:top w:val="single" w:color="auto" w:sz="4" w:space="0"/>
              <w:left w:val="single" w:color="auto" w:sz="4" w:space="0"/>
              <w:bottom w:val="single" w:color="auto" w:sz="4" w:space="0"/>
              <w:right w:val="single" w:color="auto" w:sz="4" w:space="0"/>
            </w:tcBorders>
            <w:vAlign w:val="center"/>
          </w:tcPr>
          <w:p>
            <w:pPr>
              <w:spacing w:line="300" w:lineRule="auto"/>
              <w:jc w:val="left"/>
              <w:rPr>
                <w:rFonts w:hint="eastAsia" w:ascii="宋体" w:hAnsi="宋体"/>
                <w:sz w:val="24"/>
                <w:szCs w:val="24"/>
              </w:rPr>
            </w:pPr>
            <w:r>
              <w:rPr>
                <w:rFonts w:hint="eastAsia" w:ascii="宋体" w:hAnsi="宋体"/>
                <w:sz w:val="24"/>
                <w:szCs w:val="24"/>
              </w:rPr>
              <w:t>投标人近3年承担过机关单位委托类型相近项目的，每项得2分；近5年承担承担过机关单位委托类型相近项目的，每项得1分；此项得分最高不超过7分；无相关服务经验的不得分。</w:t>
            </w:r>
          </w:p>
          <w:p>
            <w:pPr>
              <w:spacing w:line="300" w:lineRule="auto"/>
              <w:jc w:val="left"/>
              <w:rPr>
                <w:rFonts w:hint="eastAsia" w:ascii="宋体" w:hAnsi="宋体"/>
                <w:sz w:val="24"/>
                <w:szCs w:val="24"/>
              </w:rPr>
            </w:pPr>
            <w:r>
              <w:rPr>
                <w:rFonts w:hint="eastAsia" w:ascii="宋体" w:hAnsi="宋体"/>
                <w:sz w:val="24"/>
                <w:szCs w:val="24"/>
              </w:rPr>
              <w:t>1.要求同时提供合同关键信息和</w:t>
            </w:r>
            <w:r>
              <w:rPr>
                <w:rFonts w:hint="eastAsia" w:ascii="宋体" w:hAnsi="宋体"/>
                <w:sz w:val="24"/>
                <w:szCs w:val="24"/>
                <w:lang w:eastAsia="zh-CN"/>
              </w:rPr>
              <w:t>项目</w:t>
            </w:r>
            <w:r>
              <w:rPr>
                <w:rFonts w:hint="eastAsia" w:ascii="宋体" w:hAnsi="宋体"/>
                <w:sz w:val="24"/>
                <w:szCs w:val="24"/>
              </w:rPr>
              <w:t>履约（验收）合格评价证明文件作为得分依据，</w:t>
            </w:r>
            <w:r>
              <w:rPr>
                <w:rFonts w:hint="eastAsia" w:ascii="宋体" w:hAnsi="宋体"/>
                <w:sz w:val="24"/>
                <w:szCs w:val="24"/>
                <w:lang w:eastAsia="zh-CN"/>
              </w:rPr>
              <w:t>项目</w:t>
            </w:r>
            <w:r>
              <w:rPr>
                <w:rFonts w:hint="eastAsia" w:ascii="宋体" w:hAnsi="宋体"/>
                <w:sz w:val="24"/>
                <w:szCs w:val="24"/>
              </w:rPr>
              <w:t>履约（验收）合格评价证明文件需加盖合同甲方公章（或甲方业务章）。</w:t>
            </w:r>
          </w:p>
          <w:p>
            <w:pPr>
              <w:spacing w:line="300" w:lineRule="auto"/>
              <w:jc w:val="left"/>
              <w:rPr>
                <w:rFonts w:hint="eastAsia" w:ascii="宋体" w:hAnsi="宋体"/>
                <w:sz w:val="24"/>
                <w:szCs w:val="24"/>
              </w:rPr>
            </w:pPr>
            <w:r>
              <w:rPr>
                <w:rFonts w:hint="eastAsia" w:ascii="宋体" w:hAnsi="宋体"/>
                <w:sz w:val="24"/>
                <w:szCs w:val="24"/>
              </w:rPr>
              <w:t>2.通过合同关键信息无法判断是否得分的，还须同时提供能证明得分的其它证明资料，如项目报告或合同甲方出具的证明文件等。</w:t>
            </w:r>
          </w:p>
          <w:p>
            <w:pPr>
              <w:spacing w:line="300" w:lineRule="auto"/>
              <w:jc w:val="left"/>
              <w:rPr>
                <w:rFonts w:ascii="宋体" w:hAnsi="宋体"/>
                <w:sz w:val="24"/>
                <w:szCs w:val="24"/>
              </w:rPr>
            </w:pPr>
            <w:r>
              <w:rPr>
                <w:rFonts w:hint="eastAsia" w:ascii="宋体" w:hAnsi="宋体"/>
                <w:sz w:val="24"/>
                <w:szCs w:val="24"/>
              </w:rPr>
              <w:t>3.以上资料均要求提供扫描件，原件备查。评分中出现无证明资料或评委无法凭所提供资料判断是否得分的情况，一律作不得分处理。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743" w:type="dxa"/>
            <w:tcBorders>
              <w:top w:val="single" w:color="auto" w:sz="4" w:space="0"/>
              <w:left w:val="single" w:color="auto" w:sz="4" w:space="0"/>
              <w:bottom w:val="single" w:color="auto" w:sz="4" w:space="0"/>
              <w:right w:val="single" w:color="auto" w:sz="4" w:space="0"/>
            </w:tcBorders>
            <w:vAlign w:val="center"/>
          </w:tcPr>
          <w:p>
            <w:pPr>
              <w:spacing w:line="300" w:lineRule="auto"/>
              <w:jc w:val="left"/>
              <w:rPr>
                <w:rFonts w:ascii="宋体" w:hAnsi="宋体"/>
                <w:sz w:val="24"/>
                <w:szCs w:val="24"/>
              </w:rPr>
            </w:pPr>
            <w:r>
              <w:rPr>
                <w:rFonts w:hint="eastAsia" w:ascii="宋体" w:hAnsi="宋体"/>
                <w:sz w:val="24"/>
                <w:szCs w:val="24"/>
              </w:rPr>
              <w:t>2</w:t>
            </w:r>
          </w:p>
        </w:tc>
        <w:tc>
          <w:tcPr>
            <w:tcW w:w="1846"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hint="eastAsia" w:ascii="宋体" w:hAnsi="宋体"/>
                <w:sz w:val="24"/>
                <w:szCs w:val="24"/>
              </w:rPr>
            </w:pPr>
            <w:r>
              <w:rPr>
                <w:rFonts w:hint="eastAsia" w:ascii="宋体" w:hAnsi="宋体"/>
                <w:sz w:val="24"/>
                <w:szCs w:val="24"/>
              </w:rPr>
              <w:t>诚信评价</w:t>
            </w:r>
          </w:p>
        </w:tc>
        <w:tc>
          <w:tcPr>
            <w:tcW w:w="764"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hint="eastAsia" w:ascii="宋体" w:hAnsi="宋体"/>
                <w:sz w:val="24"/>
                <w:szCs w:val="24"/>
              </w:rPr>
            </w:pPr>
            <w:r>
              <w:rPr>
                <w:rFonts w:hint="eastAsia" w:ascii="宋体" w:hAnsi="宋体"/>
                <w:sz w:val="24"/>
                <w:szCs w:val="24"/>
              </w:rPr>
              <w:t>3</w:t>
            </w:r>
          </w:p>
        </w:tc>
        <w:tc>
          <w:tcPr>
            <w:tcW w:w="810" w:type="dxa"/>
            <w:tcBorders>
              <w:top w:val="single" w:color="auto" w:sz="4" w:space="0"/>
              <w:left w:val="single" w:color="auto" w:sz="4" w:space="0"/>
              <w:bottom w:val="single" w:color="auto" w:sz="4" w:space="0"/>
              <w:right w:val="single" w:color="auto" w:sz="4" w:space="0"/>
            </w:tcBorders>
            <w:vAlign w:val="center"/>
          </w:tcPr>
          <w:p>
            <w:pPr>
              <w:spacing w:line="300" w:lineRule="auto"/>
              <w:jc w:val="left"/>
              <w:rPr>
                <w:rFonts w:ascii="宋体" w:hAnsi="宋体"/>
                <w:sz w:val="24"/>
                <w:szCs w:val="24"/>
              </w:rPr>
            </w:pPr>
            <w:r>
              <w:rPr>
                <w:rFonts w:hint="eastAsia" w:ascii="宋体" w:hAnsi="宋体"/>
                <w:sz w:val="24"/>
                <w:szCs w:val="24"/>
              </w:rPr>
              <w:t>评委</w:t>
            </w:r>
          </w:p>
          <w:p>
            <w:pPr>
              <w:spacing w:line="300" w:lineRule="auto"/>
              <w:jc w:val="left"/>
              <w:rPr>
                <w:rFonts w:ascii="宋体" w:hAnsi="宋体"/>
                <w:sz w:val="24"/>
                <w:szCs w:val="24"/>
              </w:rPr>
            </w:pPr>
            <w:r>
              <w:rPr>
                <w:rFonts w:hint="eastAsia" w:ascii="宋体" w:hAnsi="宋体"/>
                <w:sz w:val="24"/>
                <w:szCs w:val="24"/>
              </w:rPr>
              <w:t>评分</w:t>
            </w:r>
          </w:p>
        </w:tc>
        <w:tc>
          <w:tcPr>
            <w:tcW w:w="5352" w:type="dxa"/>
            <w:tcBorders>
              <w:top w:val="single" w:color="auto" w:sz="4" w:space="0"/>
              <w:left w:val="single" w:color="auto" w:sz="4" w:space="0"/>
              <w:bottom w:val="single" w:color="auto" w:sz="4" w:space="0"/>
              <w:right w:val="single" w:color="auto" w:sz="4" w:space="0"/>
            </w:tcBorders>
            <w:vAlign w:val="center"/>
          </w:tcPr>
          <w:p>
            <w:pPr>
              <w:spacing w:line="300" w:lineRule="auto"/>
              <w:jc w:val="left"/>
              <w:rPr>
                <w:rFonts w:hint="eastAsia" w:ascii="宋体" w:hAnsi="宋体"/>
                <w:sz w:val="24"/>
                <w:szCs w:val="24"/>
              </w:rPr>
            </w:pPr>
            <w:r>
              <w:rPr>
                <w:rFonts w:hint="eastAsia" w:ascii="宋体" w:hAnsi="宋体"/>
                <w:sz w:val="24"/>
                <w:szCs w:val="24"/>
              </w:rPr>
              <w:t>根据深圳市财政部门政府采购诚信管理相关规定，对投标人被记录诚信档案的情况进行评审（对于受过行政处罚供应商，行政处罚期满后，可参与政府采购活动，其诚信分不再扣减。）必须提供《诚信承诺函》。承诺函格式自拟，加盖投标人公章。如若投标人承诺与实际情况不相符，将按照虚假投标的情况报相关主管部门处理。</w:t>
            </w:r>
          </w:p>
          <w:p>
            <w:pPr>
              <w:spacing w:line="300" w:lineRule="auto"/>
              <w:jc w:val="left"/>
              <w:rPr>
                <w:rFonts w:hint="eastAsia" w:ascii="宋体" w:hAnsi="宋体"/>
                <w:sz w:val="24"/>
                <w:szCs w:val="24"/>
              </w:rPr>
            </w:pPr>
            <w:r>
              <w:rPr>
                <w:rFonts w:hint="eastAsia" w:ascii="宋体" w:hAnsi="宋体"/>
                <w:sz w:val="24"/>
                <w:szCs w:val="24"/>
              </w:rPr>
              <w:t>证明材料：提供《诚信承诺函》扫描件，原件备查。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jc w:val="center"/>
        </w:trPr>
        <w:tc>
          <w:tcPr>
            <w:tcW w:w="743" w:type="dxa"/>
            <w:tcBorders>
              <w:top w:val="single" w:color="auto" w:sz="4" w:space="0"/>
              <w:left w:val="single" w:color="auto" w:sz="4" w:space="0"/>
              <w:bottom w:val="single" w:color="auto" w:sz="4" w:space="0"/>
              <w:right w:val="single" w:color="auto" w:sz="4" w:space="0"/>
            </w:tcBorders>
            <w:vAlign w:val="center"/>
          </w:tcPr>
          <w:p>
            <w:pPr>
              <w:spacing w:line="300" w:lineRule="auto"/>
              <w:jc w:val="left"/>
              <w:rPr>
                <w:rFonts w:hint="eastAsia" w:ascii="宋体" w:hAnsi="宋体"/>
                <w:sz w:val="24"/>
                <w:szCs w:val="24"/>
              </w:rPr>
            </w:pPr>
            <w:r>
              <w:rPr>
                <w:rFonts w:hint="eastAsia" w:ascii="宋体" w:hAnsi="宋体"/>
                <w:sz w:val="24"/>
                <w:szCs w:val="24"/>
              </w:rPr>
              <w:t>3</w:t>
            </w:r>
          </w:p>
        </w:tc>
        <w:tc>
          <w:tcPr>
            <w:tcW w:w="1846"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sz w:val="24"/>
                <w:szCs w:val="24"/>
              </w:rPr>
            </w:pPr>
            <w:r>
              <w:rPr>
                <w:rFonts w:hint="eastAsia" w:ascii="宋体" w:hAnsi="宋体"/>
                <w:sz w:val="24"/>
                <w:szCs w:val="24"/>
              </w:rPr>
              <w:t>服务网点</w:t>
            </w:r>
          </w:p>
        </w:tc>
        <w:tc>
          <w:tcPr>
            <w:tcW w:w="764"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sz w:val="24"/>
                <w:szCs w:val="24"/>
              </w:rPr>
            </w:pPr>
            <w:r>
              <w:rPr>
                <w:rFonts w:hint="eastAsia" w:ascii="宋体" w:hAnsi="宋体"/>
                <w:sz w:val="24"/>
                <w:szCs w:val="24"/>
              </w:rPr>
              <w:t>5</w:t>
            </w:r>
          </w:p>
        </w:tc>
        <w:tc>
          <w:tcPr>
            <w:tcW w:w="810" w:type="dxa"/>
            <w:tcBorders>
              <w:top w:val="single" w:color="auto" w:sz="4" w:space="0"/>
              <w:left w:val="single" w:color="auto" w:sz="4" w:space="0"/>
              <w:bottom w:val="single" w:color="auto" w:sz="4" w:space="0"/>
              <w:right w:val="single" w:color="auto" w:sz="4" w:space="0"/>
            </w:tcBorders>
            <w:vAlign w:val="center"/>
          </w:tcPr>
          <w:p>
            <w:pPr>
              <w:spacing w:line="300" w:lineRule="auto"/>
              <w:jc w:val="left"/>
              <w:rPr>
                <w:rFonts w:ascii="宋体" w:hAnsi="宋体"/>
                <w:sz w:val="24"/>
                <w:szCs w:val="24"/>
              </w:rPr>
            </w:pPr>
            <w:r>
              <w:rPr>
                <w:rFonts w:hint="eastAsia" w:ascii="宋体" w:hAnsi="宋体"/>
                <w:sz w:val="24"/>
                <w:szCs w:val="24"/>
              </w:rPr>
              <w:t>评委</w:t>
            </w:r>
          </w:p>
          <w:p>
            <w:pPr>
              <w:spacing w:line="300" w:lineRule="auto"/>
              <w:jc w:val="left"/>
              <w:rPr>
                <w:rFonts w:ascii="宋体" w:hAnsi="宋体"/>
                <w:sz w:val="24"/>
                <w:szCs w:val="24"/>
              </w:rPr>
            </w:pPr>
            <w:r>
              <w:rPr>
                <w:rFonts w:hint="eastAsia" w:ascii="宋体" w:hAnsi="宋体"/>
                <w:sz w:val="24"/>
                <w:szCs w:val="24"/>
              </w:rPr>
              <w:t>评分</w:t>
            </w:r>
          </w:p>
        </w:tc>
        <w:tc>
          <w:tcPr>
            <w:tcW w:w="5352" w:type="dxa"/>
            <w:tcBorders>
              <w:top w:val="single" w:color="auto" w:sz="4" w:space="0"/>
              <w:left w:val="single" w:color="auto" w:sz="4" w:space="0"/>
              <w:bottom w:val="single" w:color="auto" w:sz="4" w:space="0"/>
              <w:right w:val="single" w:color="auto" w:sz="4" w:space="0"/>
            </w:tcBorders>
            <w:vAlign w:val="center"/>
          </w:tcPr>
          <w:p>
            <w:pPr>
              <w:spacing w:line="300" w:lineRule="auto"/>
              <w:jc w:val="left"/>
              <w:rPr>
                <w:rFonts w:hint="eastAsia" w:ascii="宋体" w:hAnsi="宋体"/>
                <w:sz w:val="24"/>
                <w:szCs w:val="24"/>
              </w:rPr>
            </w:pPr>
            <w:r>
              <w:rPr>
                <w:rFonts w:hint="eastAsia" w:ascii="宋体" w:hAnsi="宋体"/>
                <w:sz w:val="24"/>
                <w:szCs w:val="24"/>
              </w:rPr>
              <w:t>1.深圳供应商，或非深圳供应商但在深圳有合法注册的分公司或售后机构（分公司的必须提供分公司营业执照扫描件，售后机构必须同时提供售后服务合作合同及售后机构营业执照扫描件作或复印件加盖公章为得分依据，原件备查）的,得5分；否则不得分。</w:t>
            </w:r>
          </w:p>
          <w:p>
            <w:pPr>
              <w:spacing w:line="300" w:lineRule="auto"/>
              <w:jc w:val="left"/>
              <w:rPr>
                <w:rFonts w:ascii="宋体" w:hAnsi="宋体"/>
                <w:sz w:val="24"/>
                <w:szCs w:val="24"/>
              </w:rPr>
            </w:pPr>
            <w:r>
              <w:rPr>
                <w:rFonts w:hint="eastAsia" w:ascii="宋体" w:hAnsi="宋体"/>
                <w:sz w:val="24"/>
                <w:szCs w:val="24"/>
              </w:rPr>
              <w:t>2.外地供应商承诺：中标后设立本地经营（服务）网点的，提供承诺文件（格式自定，加盖公章）的，得5分；未提供承诺或承诺内容不满足要求均不得分。</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6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3FD"/>
    <w:rsid w:val="000E1020"/>
    <w:rsid w:val="001C13FD"/>
    <w:rsid w:val="008A1F15"/>
    <w:rsid w:val="00E73C2C"/>
    <w:rsid w:val="3FDF5DE6"/>
    <w:rsid w:val="63E7354D"/>
    <w:rsid w:val="66DCE66B"/>
    <w:rsid w:val="FB2F44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Chinese ORG</Company>
  <Pages>5</Pages>
  <Words>325</Words>
  <Characters>1859</Characters>
  <Lines>15</Lines>
  <Paragraphs>4</Paragraphs>
  <TotalTime>29</TotalTime>
  <ScaleCrop>false</ScaleCrop>
  <LinksUpToDate>false</LinksUpToDate>
  <CharactersWithSpaces>2180</CharactersWithSpaces>
  <Application>WPS Office_11.8.2.11764_F1E327BC-269C-435d-A152-05C5408002CA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2022-12-22T08:48:00Z</dcterms:created>
  <dc:creator>马恒珠</dc:creator>
  <cp:lastModifiedBy>杨紫琼</cp:lastModifiedBy>
  <dcterms:modified xsi:type="dcterms:W3CDTF">2026-08-12T15:03:33Z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2052-11.8.2.11764</vt:lpwstr>
  </property>
  <property fmtid="{D5CDD505-2E9C-101B-9397-08002B2CF9AE}" pid="3" name="ICV">
    <vt:lpwstr>F3046440FBFAA7192F7E7A6A643C4FD8_43</vt:lpwstr>
  </property>
</Properties>
</file>