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00" w:lineRule="exact"/>
        <w:ind w:left="0"/>
        <w:jc w:val="both"/>
        <w:textAlignment w:val="auto"/>
        <w:rPr>
          <w:rFonts w:hint="default" w:ascii="仿宋_GB2312" w:hAnsi="宋体" w:eastAsia="仿宋_GB2312" w:cs="仿宋_GB2312"/>
          <w:kern w:val="0"/>
          <w:sz w:val="32"/>
          <w:szCs w:val="32"/>
          <w:highlight w:val="none"/>
        </w:rPr>
      </w:pPr>
      <w:r>
        <w:rPr>
          <w:rFonts w:hint="eastAsia" w:ascii="黑体" w:hAnsi="黑体" w:eastAsia="黑体" w:cs="黑体"/>
          <w:kern w:val="0"/>
          <w:sz w:val="32"/>
          <w:szCs w:val="32"/>
          <w:highlight w:val="none"/>
        </w:rPr>
        <w:t>附件</w:t>
      </w:r>
      <w:r>
        <w:rPr>
          <w:rFonts w:hint="default" w:ascii="黑体" w:hAnsi="黑体" w:eastAsia="黑体" w:cs="黑体"/>
          <w:kern w:val="0"/>
          <w:sz w:val="32"/>
          <w:szCs w:val="32"/>
          <w:highlight w:val="none"/>
        </w:rPr>
        <w:t>2</w:t>
      </w:r>
    </w:p>
    <w:p>
      <w:pPr>
        <w:pStyle w:val="8"/>
        <w:spacing w:line="700" w:lineRule="exact"/>
        <w:jc w:val="both"/>
        <w:rPr>
          <w:rFonts w:hint="eastAsia" w:ascii="方正小标宋简体" w:hAnsi="方正小标宋简体" w:eastAsia="方正小标宋简体" w:cs="方正小标宋简体"/>
          <w:color w:val="auto"/>
          <w:sz w:val="44"/>
          <w:szCs w:val="44"/>
          <w:highlight w:val="none"/>
        </w:rPr>
      </w:pPr>
    </w:p>
    <w:p>
      <w:pPr>
        <w:pStyle w:val="8"/>
        <w:spacing w:line="700" w:lineRule="exact"/>
        <w:jc w:val="center"/>
        <w:rPr>
          <w:rFonts w:hint="eastAsia" w:ascii="方正小标宋简体" w:hAnsi="方正小标宋简体" w:eastAsia="方正小标宋简体" w:cs="方正小标宋简体"/>
          <w:color w:val="auto"/>
          <w:sz w:val="44"/>
          <w:szCs w:val="44"/>
          <w:highlight w:val="none"/>
        </w:rPr>
      </w:pPr>
      <w:bookmarkStart w:id="0" w:name="_GoBack"/>
      <w:r>
        <w:rPr>
          <w:rFonts w:hint="eastAsia" w:ascii="方正小标宋简体" w:hAnsi="方正小标宋简体" w:eastAsia="方正小标宋简体" w:cs="方正小标宋简体"/>
          <w:color w:val="auto"/>
          <w:sz w:val="44"/>
          <w:szCs w:val="44"/>
          <w:highlight w:val="none"/>
        </w:rPr>
        <w:t>评分细则表</w:t>
      </w:r>
    </w:p>
    <w:bookmarkEnd w:id="0"/>
    <w:p>
      <w:pPr>
        <w:widowControl/>
        <w:spacing w:line="560" w:lineRule="exact"/>
        <w:jc w:val="left"/>
        <w:rPr>
          <w:rFonts w:ascii="仿宋_GB2312" w:hAnsi="仿宋"/>
          <w:szCs w:val="32"/>
          <w:highlight w:val="none"/>
        </w:rPr>
      </w:pPr>
    </w:p>
    <w:p>
      <w:pPr>
        <w:spacing w:line="560" w:lineRule="exact"/>
        <w:ind w:firstLine="0" w:firstLineChars="0"/>
        <w:rPr>
          <w:rFonts w:hint="eastAsia" w:ascii="CESI仿宋-GB2312" w:hAnsi="CESI仿宋-GB2312" w:eastAsia="CESI仿宋-GB2312" w:cs="CESI仿宋-GB2312"/>
          <w:spacing w:val="0"/>
          <w:sz w:val="30"/>
          <w:szCs w:val="30"/>
          <w:highlight w:val="none"/>
        </w:rPr>
      </w:pPr>
      <w:r>
        <w:rPr>
          <w:rFonts w:hint="eastAsia" w:ascii="CESI仿宋-GB2312" w:hAnsi="CESI仿宋-GB2312" w:eastAsia="CESI仿宋-GB2312" w:cs="CESI仿宋-GB2312"/>
          <w:spacing w:val="0"/>
          <w:sz w:val="30"/>
          <w:szCs w:val="30"/>
          <w:highlight w:val="none"/>
        </w:rPr>
        <w:t>评标方法为综合评分法。</w:t>
      </w:r>
    </w:p>
    <w:p>
      <w:pPr>
        <w:spacing w:line="560" w:lineRule="exact"/>
        <w:ind w:firstLine="0" w:firstLineChars="0"/>
        <w:rPr>
          <w:rFonts w:hint="eastAsia" w:ascii="CESI仿宋-GB2312" w:hAnsi="CESI仿宋-GB2312" w:eastAsia="CESI仿宋-GB2312" w:cs="CESI仿宋-GB2312"/>
          <w:spacing w:val="0"/>
          <w:sz w:val="30"/>
          <w:szCs w:val="30"/>
          <w:highlight w:val="none"/>
        </w:rPr>
      </w:pPr>
      <w:r>
        <w:rPr>
          <w:rFonts w:hint="eastAsia" w:ascii="CESI仿宋-GB2312" w:hAnsi="CESI仿宋-GB2312" w:eastAsia="CESI仿宋-GB2312" w:cs="CESI仿宋-GB2312"/>
          <w:spacing w:val="0"/>
          <w:sz w:val="30"/>
          <w:szCs w:val="30"/>
          <w:highlight w:val="none"/>
        </w:rPr>
        <w:t>评审小组按综合得分由高到低的顺序排出各有效投标的名次，得分最高的投标人为本项目中标人。</w:t>
      </w:r>
    </w:p>
    <w:tbl>
      <w:tblPr>
        <w:tblStyle w:val="6"/>
        <w:tblW w:w="9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1"/>
        <w:gridCol w:w="1704"/>
        <w:gridCol w:w="717"/>
        <w:gridCol w:w="5103"/>
        <w:gridCol w:w="11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135" w:type="dxa"/>
            <w:gridSpan w:val="4"/>
            <w:noWrap w:val="0"/>
            <w:vAlign w:val="center"/>
          </w:tcPr>
          <w:p>
            <w:pPr>
              <w:autoSpaceDE w:val="0"/>
              <w:autoSpaceDN w:val="0"/>
              <w:adjustRightInd w:val="0"/>
              <w:jc w:val="left"/>
              <w:rPr>
                <w:rFonts w:hint="eastAsia" w:ascii="仿宋" w:hAnsi="仿宋" w:eastAsia="仿宋" w:cs="仿宋"/>
                <w:b/>
                <w:bCs/>
                <w:szCs w:val="21"/>
                <w:lang w:val="zh-CN"/>
              </w:rPr>
            </w:pPr>
            <w:r>
              <w:rPr>
                <w:rFonts w:hint="eastAsia" w:ascii="仿宋" w:hAnsi="仿宋" w:eastAsia="仿宋" w:cs="仿宋"/>
                <w:b/>
                <w:bCs/>
                <w:szCs w:val="21"/>
                <w:lang w:val="zh-CN"/>
              </w:rPr>
              <w:t>评分项及评分规则</w:t>
            </w:r>
          </w:p>
        </w:tc>
        <w:tc>
          <w:tcPr>
            <w:tcW w:w="1130" w:type="dxa"/>
            <w:noWrap w:val="0"/>
            <w:vAlign w:val="center"/>
          </w:tcPr>
          <w:p>
            <w:pPr>
              <w:autoSpaceDE w:val="0"/>
              <w:autoSpaceDN w:val="0"/>
              <w:adjustRightInd w:val="0"/>
              <w:jc w:val="left"/>
              <w:rPr>
                <w:rFonts w:hint="eastAsia" w:ascii="仿宋" w:hAnsi="仿宋" w:eastAsia="仿宋" w:cs="仿宋"/>
                <w:b/>
                <w:bCs/>
                <w:szCs w:val="21"/>
                <w:lang w:val="zh-CN"/>
              </w:rPr>
            </w:pPr>
            <w:r>
              <w:rPr>
                <w:rFonts w:hint="eastAsia" w:ascii="仿宋" w:hAnsi="仿宋" w:eastAsia="仿宋" w:cs="仿宋"/>
                <w:b/>
                <w:bCs/>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135" w:type="dxa"/>
            <w:gridSpan w:val="4"/>
            <w:noWrap w:val="0"/>
            <w:vAlign w:val="center"/>
          </w:tcPr>
          <w:p>
            <w:pPr>
              <w:autoSpaceDE w:val="0"/>
              <w:autoSpaceDN w:val="0"/>
              <w:adjustRightInd w:val="0"/>
              <w:jc w:val="left"/>
              <w:rPr>
                <w:rFonts w:hint="eastAsia" w:ascii="仿宋" w:hAnsi="仿宋" w:eastAsia="仿宋" w:cs="仿宋"/>
                <w:b/>
                <w:bCs/>
                <w:szCs w:val="21"/>
                <w:lang w:val="zh-CN"/>
              </w:rPr>
            </w:pPr>
            <w:r>
              <w:rPr>
                <w:rFonts w:hint="eastAsia" w:ascii="仿宋" w:hAnsi="仿宋" w:eastAsia="仿宋" w:cs="仿宋"/>
                <w:b/>
                <w:bCs/>
                <w:szCs w:val="21"/>
                <w:lang w:val="zh-CN"/>
              </w:rPr>
              <w:t>一、价格部分</w:t>
            </w:r>
          </w:p>
        </w:tc>
        <w:tc>
          <w:tcPr>
            <w:tcW w:w="1130" w:type="dxa"/>
            <w:noWrap w:val="0"/>
            <w:vAlign w:val="center"/>
          </w:tcPr>
          <w:p>
            <w:pPr>
              <w:autoSpaceDE w:val="0"/>
              <w:autoSpaceDN w:val="0"/>
              <w:adjustRightInd w:val="0"/>
              <w:jc w:val="left"/>
              <w:rPr>
                <w:rFonts w:hint="eastAsia" w:ascii="仿宋" w:hAnsi="仿宋" w:eastAsia="仿宋" w:cs="仿宋"/>
                <w:szCs w:val="21"/>
              </w:rPr>
            </w:pPr>
            <w:r>
              <w:rPr>
                <w:rFonts w:hint="eastAsia" w:ascii="仿宋" w:hAnsi="仿宋" w:eastAsia="仿宋" w:cs="仿宋"/>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35" w:type="dxa"/>
            <w:gridSpan w:val="4"/>
            <w:noWrap w:val="0"/>
            <w:vAlign w:val="center"/>
          </w:tcPr>
          <w:p>
            <w:pPr>
              <w:jc w:val="left"/>
              <w:rPr>
                <w:rFonts w:hint="eastAsia" w:ascii="仿宋" w:hAnsi="仿宋" w:eastAsia="仿宋" w:cs="仿宋"/>
                <w:szCs w:val="21"/>
              </w:rPr>
            </w:pPr>
            <w:r>
              <w:rPr>
                <w:rFonts w:hint="eastAsia" w:ascii="仿宋" w:hAnsi="仿宋" w:eastAsia="仿宋" w:cs="仿宋"/>
                <w:szCs w:val="21"/>
              </w:rPr>
              <w:t>综合评分法中的价格分统一采用低价优先法计算,即满足招标文件要求且投标价格最低的投标报价为评标基准价,其价格分为满分。其他投标人的价格分统一按照下列公式计算：投标报价得分=(评标基准价/投标报价)×权重</w:t>
            </w:r>
          </w:p>
        </w:tc>
        <w:tc>
          <w:tcPr>
            <w:tcW w:w="1130" w:type="dxa"/>
            <w:noWrap w:val="0"/>
            <w:vAlign w:val="center"/>
          </w:tcPr>
          <w:p>
            <w:pPr>
              <w:autoSpaceDE w:val="0"/>
              <w:autoSpaceDN w:val="0"/>
              <w:adjustRightInd w:val="0"/>
              <w:jc w:val="left"/>
              <w:rPr>
                <w:rFonts w:hint="eastAsia" w:ascii="仿宋" w:hAnsi="仿宋" w:eastAsia="仿宋" w:cs="仿宋"/>
                <w:szCs w:val="21"/>
                <w:lang w:val="zh-CN"/>
              </w:rPr>
            </w:pPr>
            <w:r>
              <w:rPr>
                <w:rFonts w:hint="eastAsia" w:ascii="仿宋" w:hAnsi="仿宋" w:eastAsia="仿宋" w:cs="仿宋"/>
                <w:szCs w:val="21"/>
                <w:lang w:val="zh-CN"/>
              </w:rPr>
              <w:t>评分方式</w:t>
            </w:r>
          </w:p>
          <w:p>
            <w:pPr>
              <w:autoSpaceDE w:val="0"/>
              <w:autoSpaceDN w:val="0"/>
              <w:adjustRightInd w:val="0"/>
              <w:jc w:val="left"/>
              <w:rPr>
                <w:rFonts w:hint="eastAsia" w:ascii="仿宋" w:hAnsi="仿宋" w:eastAsia="仿宋" w:cs="仿宋"/>
                <w:szCs w:val="21"/>
              </w:rPr>
            </w:pPr>
            <w:r>
              <w:rPr>
                <w:rFonts w:hint="eastAsia" w:ascii="仿宋" w:hAnsi="仿宋" w:eastAsia="仿宋" w:cs="仿宋"/>
                <w:szCs w:val="21"/>
                <w:lang w:val="zh-CN"/>
              </w:rPr>
              <w:t>按公式计算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135" w:type="dxa"/>
            <w:gridSpan w:val="4"/>
            <w:noWrap w:val="0"/>
            <w:vAlign w:val="center"/>
          </w:tcPr>
          <w:p>
            <w:pPr>
              <w:autoSpaceDE w:val="0"/>
              <w:autoSpaceDN w:val="0"/>
              <w:adjustRightInd w:val="0"/>
              <w:jc w:val="left"/>
              <w:rPr>
                <w:rFonts w:hint="eastAsia" w:ascii="仿宋" w:hAnsi="仿宋" w:eastAsia="仿宋" w:cs="仿宋"/>
                <w:b/>
                <w:bCs/>
                <w:szCs w:val="21"/>
              </w:rPr>
            </w:pPr>
            <w:r>
              <w:rPr>
                <w:rFonts w:hint="eastAsia" w:ascii="仿宋" w:hAnsi="仿宋" w:eastAsia="仿宋" w:cs="仿宋"/>
                <w:b/>
                <w:bCs/>
                <w:szCs w:val="21"/>
                <w:lang w:val="zh-CN"/>
              </w:rPr>
              <w:t>二、综合实力部分</w:t>
            </w:r>
          </w:p>
        </w:tc>
        <w:tc>
          <w:tcPr>
            <w:tcW w:w="1130" w:type="dxa"/>
            <w:noWrap w:val="0"/>
            <w:vAlign w:val="center"/>
          </w:tcPr>
          <w:p>
            <w:pPr>
              <w:autoSpaceDE w:val="0"/>
              <w:autoSpaceDN w:val="0"/>
              <w:adjustRightInd w:val="0"/>
              <w:jc w:val="left"/>
              <w:rPr>
                <w:rFonts w:hint="eastAsia" w:ascii="仿宋" w:hAnsi="仿宋" w:eastAsia="仿宋" w:cs="仿宋"/>
                <w:color w:val="000000"/>
                <w:szCs w:val="21"/>
              </w:rPr>
            </w:pPr>
            <w:r>
              <w:rPr>
                <w:rFonts w:hint="eastAsia" w:ascii="仿宋" w:hAnsi="仿宋" w:eastAsia="仿宋" w:cs="仿宋"/>
                <w:color w:val="000000"/>
                <w:szCs w:val="21"/>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11" w:type="dxa"/>
            <w:noWrap w:val="0"/>
            <w:vAlign w:val="center"/>
          </w:tcPr>
          <w:p>
            <w:pPr>
              <w:autoSpaceDE w:val="0"/>
              <w:autoSpaceDN w:val="0"/>
              <w:adjustRightInd w:val="0"/>
              <w:jc w:val="center"/>
              <w:rPr>
                <w:rFonts w:hint="eastAsia" w:ascii="仿宋" w:hAnsi="仿宋" w:eastAsia="仿宋" w:cs="仿宋"/>
                <w:szCs w:val="21"/>
              </w:rPr>
            </w:pPr>
            <w:r>
              <w:rPr>
                <w:rFonts w:hint="eastAsia" w:ascii="仿宋" w:hAnsi="仿宋" w:eastAsia="仿宋" w:cs="仿宋"/>
                <w:szCs w:val="21"/>
                <w:lang w:val="zh-CN"/>
              </w:rPr>
              <w:t>序号</w:t>
            </w:r>
          </w:p>
        </w:tc>
        <w:tc>
          <w:tcPr>
            <w:tcW w:w="1704" w:type="dxa"/>
            <w:noWrap w:val="0"/>
            <w:vAlign w:val="center"/>
          </w:tcPr>
          <w:p>
            <w:pPr>
              <w:autoSpaceDE w:val="0"/>
              <w:autoSpaceDN w:val="0"/>
              <w:adjustRightInd w:val="0"/>
              <w:jc w:val="center"/>
              <w:rPr>
                <w:rFonts w:hint="eastAsia" w:ascii="仿宋" w:hAnsi="仿宋" w:eastAsia="仿宋" w:cs="仿宋"/>
                <w:szCs w:val="21"/>
              </w:rPr>
            </w:pPr>
            <w:r>
              <w:rPr>
                <w:rFonts w:hint="eastAsia" w:ascii="仿宋" w:hAnsi="仿宋" w:eastAsia="仿宋" w:cs="仿宋"/>
                <w:szCs w:val="21"/>
                <w:lang w:val="zh-CN"/>
              </w:rPr>
              <w:t>内容</w:t>
            </w:r>
          </w:p>
        </w:tc>
        <w:tc>
          <w:tcPr>
            <w:tcW w:w="717" w:type="dxa"/>
            <w:noWrap w:val="0"/>
            <w:vAlign w:val="center"/>
          </w:tcPr>
          <w:p>
            <w:pPr>
              <w:autoSpaceDE w:val="0"/>
              <w:autoSpaceDN w:val="0"/>
              <w:adjustRightInd w:val="0"/>
              <w:jc w:val="center"/>
              <w:rPr>
                <w:rFonts w:hint="eastAsia" w:ascii="仿宋" w:hAnsi="仿宋" w:eastAsia="仿宋" w:cs="仿宋"/>
                <w:szCs w:val="21"/>
              </w:rPr>
            </w:pPr>
            <w:r>
              <w:rPr>
                <w:rFonts w:hint="eastAsia" w:ascii="仿宋" w:hAnsi="仿宋" w:eastAsia="仿宋" w:cs="仿宋"/>
                <w:szCs w:val="21"/>
                <w:lang w:val="zh-CN"/>
              </w:rPr>
              <w:t>权重</w:t>
            </w:r>
          </w:p>
        </w:tc>
        <w:tc>
          <w:tcPr>
            <w:tcW w:w="5103" w:type="dxa"/>
            <w:noWrap w:val="0"/>
            <w:vAlign w:val="center"/>
          </w:tcPr>
          <w:p>
            <w:pPr>
              <w:autoSpaceDE w:val="0"/>
              <w:autoSpaceDN w:val="0"/>
              <w:adjustRightInd w:val="0"/>
              <w:jc w:val="center"/>
              <w:rPr>
                <w:rFonts w:hint="eastAsia" w:ascii="仿宋" w:hAnsi="仿宋" w:eastAsia="仿宋" w:cs="仿宋"/>
                <w:szCs w:val="21"/>
              </w:rPr>
            </w:pPr>
            <w:r>
              <w:rPr>
                <w:rFonts w:hint="eastAsia" w:ascii="仿宋" w:hAnsi="仿宋" w:eastAsia="仿宋" w:cs="仿宋"/>
                <w:szCs w:val="21"/>
                <w:lang w:val="zh-CN"/>
              </w:rPr>
              <w:t>评分规则</w:t>
            </w:r>
          </w:p>
        </w:tc>
        <w:tc>
          <w:tcPr>
            <w:tcW w:w="1130" w:type="dxa"/>
            <w:noWrap w:val="0"/>
            <w:vAlign w:val="center"/>
          </w:tcPr>
          <w:p>
            <w:pPr>
              <w:autoSpaceDE w:val="0"/>
              <w:autoSpaceDN w:val="0"/>
              <w:adjustRightInd w:val="0"/>
              <w:jc w:val="center"/>
              <w:rPr>
                <w:rFonts w:hint="eastAsia" w:ascii="仿宋" w:hAnsi="仿宋" w:eastAsia="仿宋" w:cs="仿宋"/>
                <w:szCs w:val="21"/>
              </w:rPr>
            </w:pPr>
            <w:r>
              <w:rPr>
                <w:rFonts w:hint="eastAsia" w:ascii="仿宋" w:hAnsi="仿宋" w:eastAsia="仿宋" w:cs="仿宋"/>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02" w:hRule="atLeast"/>
          <w:jc w:val="center"/>
        </w:trPr>
        <w:tc>
          <w:tcPr>
            <w:tcW w:w="611" w:type="dxa"/>
            <w:noWrap w:val="0"/>
            <w:vAlign w:val="center"/>
          </w:tcPr>
          <w:p>
            <w:pPr>
              <w:autoSpaceDE w:val="0"/>
              <w:autoSpaceDN w:val="0"/>
              <w:adjustRightInd w:val="0"/>
              <w:jc w:val="left"/>
              <w:rPr>
                <w:rFonts w:hint="eastAsia" w:ascii="仿宋" w:hAnsi="仿宋" w:eastAsia="仿宋" w:cs="仿宋"/>
                <w:szCs w:val="21"/>
              </w:rPr>
            </w:pPr>
            <w:r>
              <w:rPr>
                <w:rFonts w:hint="eastAsia" w:ascii="仿宋" w:hAnsi="仿宋" w:eastAsia="仿宋" w:cs="仿宋"/>
                <w:szCs w:val="21"/>
              </w:rPr>
              <w:t>1</w:t>
            </w:r>
          </w:p>
        </w:tc>
        <w:tc>
          <w:tcPr>
            <w:tcW w:w="1704" w:type="dxa"/>
            <w:noWrap w:val="0"/>
            <w:vAlign w:val="center"/>
          </w:tcPr>
          <w:p>
            <w:pPr>
              <w:widowControl/>
              <w:snapToGrid w:val="0"/>
              <w:jc w:val="left"/>
              <w:rPr>
                <w:rFonts w:hint="eastAsia" w:ascii="仿宋" w:hAnsi="仿宋" w:eastAsia="仿宋" w:cs="仿宋"/>
                <w:szCs w:val="21"/>
              </w:rPr>
            </w:pPr>
            <w:r>
              <w:rPr>
                <w:rFonts w:hint="eastAsia" w:ascii="仿宋" w:hAnsi="仿宋" w:eastAsia="仿宋" w:cs="仿宋"/>
                <w:szCs w:val="21"/>
              </w:rPr>
              <w:t>实施方案</w:t>
            </w:r>
          </w:p>
        </w:tc>
        <w:tc>
          <w:tcPr>
            <w:tcW w:w="717" w:type="dxa"/>
            <w:noWrap w:val="0"/>
            <w:vAlign w:val="center"/>
          </w:tcPr>
          <w:p>
            <w:pPr>
              <w:snapToGrid w:val="0"/>
              <w:jc w:val="left"/>
              <w:rPr>
                <w:rFonts w:hint="eastAsia" w:ascii="仿宋" w:hAnsi="仿宋" w:eastAsia="仿宋" w:cs="仿宋"/>
                <w:bCs/>
                <w:kern w:val="44"/>
                <w:szCs w:val="21"/>
              </w:rPr>
            </w:pPr>
            <w:r>
              <w:rPr>
                <w:rFonts w:hint="eastAsia" w:ascii="仿宋" w:hAnsi="仿宋" w:eastAsia="仿宋" w:cs="仿宋"/>
                <w:bCs/>
                <w:kern w:val="44"/>
                <w:szCs w:val="21"/>
              </w:rPr>
              <w:t>10</w:t>
            </w:r>
          </w:p>
        </w:tc>
        <w:tc>
          <w:tcPr>
            <w:tcW w:w="5103" w:type="dxa"/>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（一）评审内容</w:t>
            </w:r>
          </w:p>
          <w:p>
            <w:pPr>
              <w:snapToGrid w:val="0"/>
              <w:jc w:val="left"/>
              <w:rPr>
                <w:rFonts w:hint="eastAsia" w:ascii="仿宋" w:hAnsi="仿宋" w:eastAsia="仿宋" w:cs="仿宋"/>
                <w:szCs w:val="21"/>
              </w:rPr>
            </w:pPr>
            <w:r>
              <w:rPr>
                <w:rFonts w:hint="eastAsia" w:ascii="仿宋" w:hAnsi="仿宋" w:eastAsia="仿宋" w:cs="仿宋"/>
                <w:szCs w:val="21"/>
              </w:rPr>
              <w:t>根据招标文件的需求，制定相应的工作方案，需包括下述内容：</w:t>
            </w:r>
          </w:p>
          <w:p>
            <w:pPr>
              <w:snapToGrid w:val="0"/>
              <w:jc w:val="left"/>
              <w:rPr>
                <w:rFonts w:hint="eastAsia" w:ascii="仿宋" w:hAnsi="仿宋" w:eastAsia="仿宋" w:cs="仿宋"/>
                <w:szCs w:val="21"/>
              </w:rPr>
            </w:pPr>
            <w:r>
              <w:rPr>
                <w:rFonts w:hint="eastAsia" w:ascii="仿宋" w:hAnsi="仿宋" w:eastAsia="仿宋" w:cs="仿宋"/>
                <w:szCs w:val="21"/>
              </w:rPr>
              <w:t>1.工作措施，结合本项目服务内容，投标人阐述工作措施；</w:t>
            </w:r>
          </w:p>
          <w:p>
            <w:pPr>
              <w:snapToGrid w:val="0"/>
              <w:jc w:val="left"/>
              <w:rPr>
                <w:rFonts w:hint="eastAsia" w:ascii="仿宋" w:hAnsi="仿宋" w:eastAsia="仿宋" w:cs="仿宋"/>
                <w:szCs w:val="21"/>
              </w:rPr>
            </w:pPr>
            <w:r>
              <w:rPr>
                <w:rFonts w:hint="eastAsia" w:ascii="仿宋" w:hAnsi="仿宋" w:eastAsia="仿宋" w:cs="仿宋"/>
                <w:szCs w:val="21"/>
              </w:rPr>
              <w:t>2.工作方法，针对项目服务内容，投标人阐述本项目工作方法及手段；</w:t>
            </w:r>
          </w:p>
          <w:p>
            <w:pPr>
              <w:snapToGrid w:val="0"/>
              <w:jc w:val="left"/>
              <w:rPr>
                <w:rFonts w:hint="eastAsia" w:ascii="仿宋" w:hAnsi="仿宋" w:eastAsia="仿宋" w:cs="仿宋"/>
                <w:szCs w:val="21"/>
              </w:rPr>
            </w:pPr>
            <w:r>
              <w:rPr>
                <w:rFonts w:hint="eastAsia" w:ascii="仿宋" w:hAnsi="仿宋" w:eastAsia="仿宋" w:cs="仿宋"/>
                <w:szCs w:val="21"/>
              </w:rPr>
              <w:t>3.工作流程，结合项目实施和审计工作要求，投标人阐述项目服务工作流程。</w:t>
            </w:r>
          </w:p>
          <w:p>
            <w:pPr>
              <w:snapToGrid w:val="0"/>
              <w:jc w:val="left"/>
              <w:rPr>
                <w:rFonts w:hint="eastAsia" w:ascii="仿宋" w:hAnsi="仿宋" w:eastAsia="仿宋" w:cs="仿宋"/>
                <w:szCs w:val="21"/>
              </w:rPr>
            </w:pPr>
            <w:r>
              <w:rPr>
                <w:rFonts w:hint="eastAsia" w:ascii="仿宋" w:hAnsi="仿宋" w:eastAsia="仿宋" w:cs="仿宋"/>
                <w:szCs w:val="21"/>
              </w:rPr>
              <w:t>（二）评分标准</w:t>
            </w:r>
          </w:p>
          <w:p>
            <w:pPr>
              <w:snapToGrid w:val="0"/>
              <w:jc w:val="left"/>
              <w:rPr>
                <w:rFonts w:hint="eastAsia" w:ascii="仿宋" w:hAnsi="仿宋" w:eastAsia="仿宋" w:cs="仿宋"/>
                <w:szCs w:val="21"/>
              </w:rPr>
            </w:pPr>
            <w:r>
              <w:rPr>
                <w:rFonts w:hint="eastAsia" w:ascii="仿宋" w:hAnsi="仿宋" w:eastAsia="仿宋" w:cs="仿宋"/>
                <w:szCs w:val="21"/>
              </w:rPr>
              <w:t>1.上述内容每满足一项得2分，最高得6分。</w:t>
            </w:r>
          </w:p>
          <w:p>
            <w:pPr>
              <w:snapToGrid w:val="0"/>
              <w:jc w:val="left"/>
              <w:rPr>
                <w:rFonts w:hint="eastAsia" w:ascii="仿宋" w:hAnsi="仿宋" w:eastAsia="仿宋" w:cs="仿宋"/>
                <w:szCs w:val="21"/>
              </w:rPr>
            </w:pPr>
            <w:r>
              <w:rPr>
                <w:rFonts w:hint="eastAsia" w:ascii="仿宋" w:hAnsi="仿宋" w:eastAsia="仿宋" w:cs="仿宋"/>
                <w:szCs w:val="21"/>
              </w:rPr>
              <w:t>2.在此基础上，按照下列情形进行加分：</w:t>
            </w:r>
          </w:p>
          <w:p>
            <w:pPr>
              <w:snapToGrid w:val="0"/>
              <w:jc w:val="left"/>
              <w:rPr>
                <w:rFonts w:hint="eastAsia" w:ascii="仿宋" w:hAnsi="仿宋" w:eastAsia="仿宋" w:cs="仿宋"/>
                <w:szCs w:val="21"/>
              </w:rPr>
            </w:pPr>
            <w:r>
              <w:rPr>
                <w:rFonts w:hint="eastAsia" w:ascii="仿宋" w:hAnsi="仿宋" w:eastAsia="仿宋" w:cs="仿宋"/>
                <w:szCs w:val="21"/>
              </w:rPr>
              <w:t>（1）时间节点、实施步骤、人员安排、任务分工安排、突发情况应对措施清晰、合理程度很强加4分；</w:t>
            </w:r>
          </w:p>
          <w:p>
            <w:pPr>
              <w:snapToGrid w:val="0"/>
              <w:jc w:val="left"/>
              <w:rPr>
                <w:rFonts w:hint="eastAsia" w:ascii="仿宋" w:hAnsi="仿宋" w:eastAsia="仿宋" w:cs="仿宋"/>
                <w:szCs w:val="21"/>
              </w:rPr>
            </w:pPr>
            <w:r>
              <w:rPr>
                <w:rFonts w:hint="eastAsia" w:ascii="仿宋" w:hAnsi="仿宋" w:eastAsia="仿宋" w:cs="仿宋"/>
                <w:szCs w:val="21"/>
              </w:rPr>
              <w:t>（2）时间节点、实施步骤、人员安排、任务分工安排、突发情况应对措施清晰、合理程度比较强加2分；</w:t>
            </w:r>
          </w:p>
          <w:p>
            <w:pPr>
              <w:snapToGrid w:val="0"/>
              <w:jc w:val="left"/>
              <w:rPr>
                <w:rFonts w:hint="eastAsia" w:ascii="仿宋" w:hAnsi="仿宋" w:eastAsia="仿宋" w:cs="仿宋"/>
                <w:szCs w:val="21"/>
              </w:rPr>
            </w:pPr>
            <w:r>
              <w:rPr>
                <w:rFonts w:hint="eastAsia" w:ascii="仿宋" w:hAnsi="仿宋" w:eastAsia="仿宋" w:cs="仿宋"/>
                <w:szCs w:val="21"/>
              </w:rPr>
              <w:t>（3）时间节点、实施步骤、人员安排、任务分工安排、突发情况应对措施清晰、合理程度中等加1分；</w:t>
            </w:r>
          </w:p>
          <w:p>
            <w:pPr>
              <w:snapToGrid w:val="0"/>
              <w:jc w:val="left"/>
              <w:rPr>
                <w:rFonts w:hint="eastAsia" w:ascii="仿宋" w:hAnsi="仿宋" w:eastAsia="仿宋" w:cs="仿宋"/>
                <w:szCs w:val="21"/>
              </w:rPr>
            </w:pPr>
            <w:r>
              <w:rPr>
                <w:rFonts w:hint="eastAsia" w:ascii="仿宋" w:hAnsi="仿宋" w:eastAsia="仿宋" w:cs="仿宋"/>
                <w:szCs w:val="21"/>
              </w:rPr>
              <w:t>（4）时间节点、实施步骤、人员安排、任务分工安排、突发情况应对措施清晰、合理程度一般不加分；如果评审为0分，要求专家书面说明理由，并记录在档。</w:t>
            </w:r>
          </w:p>
          <w:p>
            <w:pPr>
              <w:snapToGrid w:val="0"/>
              <w:jc w:val="left"/>
              <w:rPr>
                <w:rFonts w:hint="eastAsia" w:ascii="仿宋" w:hAnsi="仿宋" w:eastAsia="仿宋" w:cs="仿宋"/>
                <w:bCs/>
                <w:color w:val="0000FF"/>
                <w:szCs w:val="21"/>
              </w:rPr>
            </w:pPr>
            <w:r>
              <w:rPr>
                <w:rFonts w:hint="eastAsia" w:ascii="仿宋" w:hAnsi="仿宋" w:eastAsia="仿宋" w:cs="仿宋"/>
                <w:szCs w:val="21"/>
              </w:rPr>
              <w:t>以上1-2项得分累计，最高得分10分。</w:t>
            </w:r>
          </w:p>
        </w:tc>
        <w:tc>
          <w:tcPr>
            <w:tcW w:w="1130" w:type="dxa"/>
            <w:noWrap w:val="0"/>
            <w:vAlign w:val="center"/>
          </w:tcPr>
          <w:p>
            <w:pPr>
              <w:autoSpaceDE w:val="0"/>
              <w:autoSpaceDN w:val="0"/>
              <w:adjustRightInd w:val="0"/>
              <w:jc w:val="left"/>
              <w:rPr>
                <w:rFonts w:hint="eastAsia" w:ascii="仿宋" w:hAnsi="仿宋" w:eastAsia="仿宋" w:cs="仿宋"/>
                <w:szCs w:val="21"/>
                <w:lang w:val="zh-CN"/>
              </w:rPr>
            </w:pPr>
            <w:r>
              <w:rPr>
                <w:rFonts w:hint="eastAsia" w:ascii="仿宋" w:hAnsi="仿宋" w:eastAsia="仿宋" w:cs="仿宋"/>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11" w:type="dxa"/>
            <w:noWrap w:val="0"/>
            <w:vAlign w:val="center"/>
          </w:tcPr>
          <w:p>
            <w:pPr>
              <w:autoSpaceDE w:val="0"/>
              <w:autoSpaceDN w:val="0"/>
              <w:adjustRightInd w:val="0"/>
              <w:jc w:val="left"/>
              <w:rPr>
                <w:rFonts w:hint="eastAsia" w:ascii="仿宋" w:hAnsi="仿宋" w:eastAsia="仿宋" w:cs="仿宋"/>
                <w:szCs w:val="21"/>
              </w:rPr>
            </w:pPr>
            <w:r>
              <w:rPr>
                <w:rFonts w:hint="eastAsia" w:ascii="仿宋" w:hAnsi="仿宋" w:eastAsia="仿宋" w:cs="仿宋"/>
                <w:szCs w:val="21"/>
              </w:rPr>
              <w:t>2</w:t>
            </w:r>
          </w:p>
        </w:tc>
        <w:tc>
          <w:tcPr>
            <w:tcW w:w="1704" w:type="dxa"/>
            <w:noWrap w:val="0"/>
            <w:vAlign w:val="center"/>
          </w:tcPr>
          <w:p>
            <w:pPr>
              <w:snapToGrid w:val="0"/>
              <w:jc w:val="left"/>
              <w:rPr>
                <w:rFonts w:hint="eastAsia" w:ascii="仿宋" w:hAnsi="仿宋" w:eastAsia="仿宋" w:cs="仿宋"/>
                <w:bCs/>
                <w:kern w:val="44"/>
                <w:szCs w:val="21"/>
              </w:rPr>
            </w:pPr>
            <w:r>
              <w:rPr>
                <w:rFonts w:hint="eastAsia" w:ascii="仿宋" w:hAnsi="仿宋" w:eastAsia="仿宋" w:cs="仿宋"/>
                <w:szCs w:val="21"/>
              </w:rPr>
              <w:t>项目难点分析及应对措施</w:t>
            </w:r>
          </w:p>
        </w:tc>
        <w:tc>
          <w:tcPr>
            <w:tcW w:w="717" w:type="dxa"/>
            <w:noWrap w:val="0"/>
            <w:vAlign w:val="center"/>
          </w:tcPr>
          <w:p>
            <w:pPr>
              <w:snapToGrid w:val="0"/>
              <w:jc w:val="left"/>
              <w:rPr>
                <w:rFonts w:hint="eastAsia" w:ascii="仿宋" w:hAnsi="仿宋" w:eastAsia="仿宋" w:cs="仿宋"/>
                <w:bCs/>
                <w:kern w:val="44"/>
                <w:szCs w:val="21"/>
              </w:rPr>
            </w:pPr>
            <w:r>
              <w:rPr>
                <w:rFonts w:hint="eastAsia" w:ascii="仿宋" w:hAnsi="仿宋" w:eastAsia="仿宋" w:cs="仿宋"/>
                <w:bCs/>
                <w:kern w:val="44"/>
                <w:szCs w:val="21"/>
              </w:rPr>
              <w:t>10</w:t>
            </w:r>
          </w:p>
        </w:tc>
        <w:tc>
          <w:tcPr>
            <w:tcW w:w="5103" w:type="dxa"/>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（一）评审内容</w:t>
            </w:r>
          </w:p>
          <w:p>
            <w:pPr>
              <w:snapToGrid w:val="0"/>
              <w:jc w:val="left"/>
              <w:rPr>
                <w:rFonts w:hint="eastAsia" w:ascii="仿宋" w:hAnsi="仿宋" w:eastAsia="仿宋" w:cs="仿宋"/>
                <w:szCs w:val="21"/>
              </w:rPr>
            </w:pPr>
            <w:r>
              <w:rPr>
                <w:rFonts w:hint="eastAsia" w:ascii="仿宋" w:hAnsi="仿宋" w:eastAsia="仿宋" w:cs="仿宋"/>
                <w:szCs w:val="21"/>
              </w:rPr>
              <w:t>投标人需结合养老服务突出问题专项整治相关材料审计实际，阐述项目重点难点，并提出应对措施或相关建议。需包含下述内容：</w:t>
            </w:r>
          </w:p>
          <w:p>
            <w:pPr>
              <w:snapToGrid w:val="0"/>
              <w:jc w:val="left"/>
              <w:rPr>
                <w:rFonts w:hint="eastAsia" w:ascii="仿宋" w:hAnsi="仿宋" w:eastAsia="仿宋" w:cs="仿宋"/>
                <w:szCs w:val="21"/>
              </w:rPr>
            </w:pPr>
            <w:r>
              <w:rPr>
                <w:rFonts w:hint="eastAsia" w:ascii="仿宋" w:hAnsi="仿宋" w:eastAsia="仿宋" w:cs="仿宋"/>
                <w:szCs w:val="21"/>
              </w:rPr>
              <w:t>1.投标人提供项目重点难点分析，识别并分析本项目在执行过程中的核心难点与关键挑战；</w:t>
            </w:r>
          </w:p>
          <w:p>
            <w:pPr>
              <w:snapToGrid w:val="0"/>
              <w:jc w:val="left"/>
              <w:rPr>
                <w:rFonts w:hint="eastAsia" w:ascii="仿宋" w:hAnsi="仿宋" w:eastAsia="仿宋" w:cs="仿宋"/>
                <w:szCs w:val="21"/>
              </w:rPr>
            </w:pPr>
            <w:r>
              <w:rPr>
                <w:rFonts w:hint="eastAsia" w:ascii="仿宋" w:hAnsi="仿宋" w:eastAsia="仿宋" w:cs="仿宋"/>
                <w:szCs w:val="21"/>
              </w:rPr>
              <w:t>2.投标人提供应对措施，针对识别出的重点难点，制定应对措施；</w:t>
            </w:r>
          </w:p>
          <w:p>
            <w:pPr>
              <w:snapToGrid w:val="0"/>
              <w:jc w:val="left"/>
              <w:rPr>
                <w:rFonts w:hint="eastAsia" w:ascii="仿宋" w:hAnsi="仿宋" w:eastAsia="仿宋" w:cs="仿宋"/>
                <w:szCs w:val="21"/>
              </w:rPr>
            </w:pPr>
            <w:r>
              <w:rPr>
                <w:rFonts w:hint="eastAsia" w:ascii="仿宋" w:hAnsi="仿宋" w:eastAsia="仿宋" w:cs="仿宋"/>
                <w:szCs w:val="21"/>
              </w:rPr>
              <w:t>3.投标人提供相关的工作建议，结合项目重点难点、应对措施，提出工作优化建议。</w:t>
            </w:r>
          </w:p>
          <w:p>
            <w:pPr>
              <w:snapToGrid w:val="0"/>
              <w:jc w:val="left"/>
              <w:rPr>
                <w:rFonts w:hint="eastAsia" w:ascii="仿宋" w:hAnsi="仿宋" w:eastAsia="仿宋" w:cs="仿宋"/>
                <w:szCs w:val="21"/>
              </w:rPr>
            </w:pPr>
            <w:r>
              <w:rPr>
                <w:rFonts w:hint="eastAsia" w:ascii="仿宋" w:hAnsi="仿宋" w:eastAsia="仿宋" w:cs="仿宋"/>
                <w:szCs w:val="21"/>
              </w:rPr>
              <w:t>（二）评审标准</w:t>
            </w:r>
          </w:p>
          <w:p>
            <w:pPr>
              <w:snapToGrid w:val="0"/>
              <w:jc w:val="left"/>
              <w:rPr>
                <w:rFonts w:hint="eastAsia" w:ascii="仿宋" w:hAnsi="仿宋" w:eastAsia="仿宋" w:cs="仿宋"/>
                <w:szCs w:val="21"/>
              </w:rPr>
            </w:pPr>
            <w:r>
              <w:rPr>
                <w:rFonts w:hint="eastAsia" w:ascii="仿宋" w:hAnsi="仿宋" w:eastAsia="仿宋" w:cs="仿宋"/>
                <w:szCs w:val="21"/>
              </w:rPr>
              <w:t>1.上述内容每满足一项得2分，最高得6分。</w:t>
            </w:r>
          </w:p>
          <w:p>
            <w:pPr>
              <w:snapToGrid w:val="0"/>
              <w:jc w:val="left"/>
              <w:rPr>
                <w:rFonts w:hint="eastAsia" w:ascii="仿宋" w:hAnsi="仿宋" w:eastAsia="仿宋" w:cs="仿宋"/>
                <w:szCs w:val="21"/>
              </w:rPr>
            </w:pPr>
            <w:r>
              <w:rPr>
                <w:rFonts w:hint="eastAsia" w:ascii="仿宋" w:hAnsi="仿宋" w:eastAsia="仿宋" w:cs="仿宋"/>
                <w:szCs w:val="21"/>
              </w:rPr>
              <w:t>2.在此基础上，按照下列情形进行加分：</w:t>
            </w:r>
          </w:p>
          <w:p>
            <w:pPr>
              <w:snapToGrid w:val="0"/>
              <w:jc w:val="left"/>
              <w:rPr>
                <w:rFonts w:hint="eastAsia" w:ascii="仿宋" w:hAnsi="仿宋" w:eastAsia="仿宋" w:cs="仿宋"/>
                <w:szCs w:val="21"/>
              </w:rPr>
            </w:pPr>
            <w:r>
              <w:rPr>
                <w:rFonts w:hint="eastAsia" w:ascii="仿宋" w:hAnsi="仿宋" w:eastAsia="仿宋" w:cs="仿宋"/>
                <w:szCs w:val="21"/>
              </w:rPr>
              <w:t>（1）项目重点难点分析全面透彻，应对措施具有针对性，思路及解决方案清晰可行，提出的合理化建议可实施性强加4分；</w:t>
            </w:r>
          </w:p>
          <w:p>
            <w:pPr>
              <w:snapToGrid w:val="0"/>
              <w:jc w:val="left"/>
              <w:rPr>
                <w:rFonts w:hint="eastAsia" w:ascii="仿宋" w:hAnsi="仿宋" w:eastAsia="仿宋" w:cs="仿宋"/>
                <w:szCs w:val="21"/>
              </w:rPr>
            </w:pPr>
            <w:r>
              <w:rPr>
                <w:rFonts w:hint="eastAsia" w:ascii="仿宋" w:hAnsi="仿宋" w:eastAsia="仿宋" w:cs="仿宋"/>
                <w:szCs w:val="21"/>
              </w:rPr>
              <w:t>（2）项目重点难点分析较全面透彻，应对措施较有针对性，思路及解决方案较清晰可行，提出的合理化建议可实施性较强加2分；</w:t>
            </w:r>
          </w:p>
          <w:p>
            <w:pPr>
              <w:snapToGrid w:val="0"/>
              <w:jc w:val="left"/>
              <w:rPr>
                <w:rFonts w:hint="eastAsia" w:ascii="仿宋" w:hAnsi="仿宋" w:eastAsia="仿宋" w:cs="仿宋"/>
                <w:szCs w:val="21"/>
              </w:rPr>
            </w:pPr>
            <w:r>
              <w:rPr>
                <w:rFonts w:hint="eastAsia" w:ascii="仿宋" w:hAnsi="仿宋" w:eastAsia="仿宋" w:cs="仿宋"/>
                <w:szCs w:val="21"/>
              </w:rPr>
              <w:t>（3）项目重点难点分析基本全面，应对措施具有一定针对性，规划思路及解决方案基本可行，提出的合理化建议具有一定可实施性；整体方案存在部分遗漏或理解不到位之处加1分；</w:t>
            </w:r>
          </w:p>
          <w:p>
            <w:pPr>
              <w:snapToGrid w:val="0"/>
              <w:jc w:val="left"/>
              <w:rPr>
                <w:rFonts w:hint="eastAsia" w:ascii="仿宋" w:hAnsi="仿宋" w:eastAsia="仿宋" w:cs="仿宋"/>
                <w:szCs w:val="21"/>
              </w:rPr>
            </w:pPr>
            <w:r>
              <w:rPr>
                <w:rFonts w:hint="eastAsia" w:ascii="仿宋" w:hAnsi="仿宋" w:eastAsia="仿宋" w:cs="仿宋"/>
                <w:szCs w:val="21"/>
              </w:rPr>
              <w:t>（4）项目重点难点分析不准确，应对措施、思路及解决方案不清晰，提出的合理化建议不具有可实施性不加分；如果评审为0分，要求专家书面说明理由，并记录在档。</w:t>
            </w:r>
          </w:p>
          <w:p>
            <w:pPr>
              <w:snapToGrid w:val="0"/>
              <w:jc w:val="left"/>
              <w:rPr>
                <w:rFonts w:hint="eastAsia" w:ascii="仿宋" w:hAnsi="仿宋" w:eastAsia="仿宋" w:cs="仿宋"/>
                <w:szCs w:val="21"/>
              </w:rPr>
            </w:pPr>
            <w:r>
              <w:rPr>
                <w:rFonts w:hint="eastAsia" w:ascii="仿宋" w:hAnsi="仿宋" w:eastAsia="仿宋" w:cs="仿宋"/>
                <w:szCs w:val="21"/>
              </w:rPr>
              <w:t>以上1-2项得分累计，最高得分10分。</w:t>
            </w:r>
          </w:p>
        </w:tc>
        <w:tc>
          <w:tcPr>
            <w:tcW w:w="1130" w:type="dxa"/>
            <w:noWrap w:val="0"/>
            <w:vAlign w:val="center"/>
          </w:tcPr>
          <w:p>
            <w:pPr>
              <w:autoSpaceDE w:val="0"/>
              <w:autoSpaceDN w:val="0"/>
              <w:adjustRightInd w:val="0"/>
              <w:jc w:val="left"/>
              <w:rPr>
                <w:rFonts w:hint="eastAsia" w:ascii="仿宋" w:hAnsi="仿宋" w:eastAsia="仿宋" w:cs="仿宋"/>
                <w:color w:val="000000"/>
                <w:szCs w:val="21"/>
                <w:lang w:val="zh-CN"/>
              </w:rPr>
            </w:pPr>
            <w:r>
              <w:rPr>
                <w:rFonts w:hint="eastAsia" w:ascii="仿宋" w:hAnsi="仿宋" w:eastAsia="仿宋" w:cs="仿宋"/>
                <w:color w:val="000000"/>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611" w:type="dxa"/>
            <w:noWrap w:val="0"/>
            <w:vAlign w:val="center"/>
          </w:tcPr>
          <w:p>
            <w:pPr>
              <w:autoSpaceDE w:val="0"/>
              <w:autoSpaceDN w:val="0"/>
              <w:adjustRightInd w:val="0"/>
              <w:jc w:val="left"/>
              <w:rPr>
                <w:rFonts w:hint="eastAsia" w:ascii="仿宋" w:hAnsi="仿宋" w:eastAsia="仿宋" w:cs="仿宋"/>
                <w:szCs w:val="21"/>
                <w:lang w:val="zh-CN"/>
              </w:rPr>
            </w:pPr>
            <w:r>
              <w:rPr>
                <w:rFonts w:hint="eastAsia" w:ascii="仿宋" w:hAnsi="仿宋" w:eastAsia="仿宋" w:cs="仿宋"/>
                <w:szCs w:val="21"/>
              </w:rPr>
              <w:t>3</w:t>
            </w:r>
          </w:p>
        </w:tc>
        <w:tc>
          <w:tcPr>
            <w:tcW w:w="1704" w:type="dxa"/>
            <w:noWrap w:val="0"/>
            <w:vAlign w:val="center"/>
          </w:tcPr>
          <w:p>
            <w:pPr>
              <w:snapToGrid w:val="0"/>
              <w:jc w:val="left"/>
              <w:rPr>
                <w:rFonts w:hint="eastAsia" w:ascii="仿宋" w:hAnsi="仿宋" w:eastAsia="仿宋" w:cs="仿宋"/>
                <w:bCs/>
                <w:kern w:val="44"/>
                <w:szCs w:val="21"/>
              </w:rPr>
            </w:pPr>
            <w:r>
              <w:rPr>
                <w:rFonts w:hint="eastAsia" w:ascii="仿宋" w:hAnsi="仿宋" w:eastAsia="仿宋" w:cs="仿宋"/>
                <w:szCs w:val="21"/>
              </w:rPr>
              <w:t>质量保障措施及方案</w:t>
            </w:r>
          </w:p>
        </w:tc>
        <w:tc>
          <w:tcPr>
            <w:tcW w:w="717" w:type="dxa"/>
            <w:noWrap w:val="0"/>
            <w:vAlign w:val="center"/>
          </w:tcPr>
          <w:p>
            <w:pPr>
              <w:snapToGrid w:val="0"/>
              <w:jc w:val="left"/>
              <w:rPr>
                <w:rFonts w:hint="eastAsia" w:ascii="仿宋" w:hAnsi="仿宋" w:eastAsia="仿宋" w:cs="仿宋"/>
                <w:bCs/>
                <w:kern w:val="44"/>
                <w:szCs w:val="21"/>
              </w:rPr>
            </w:pPr>
            <w:r>
              <w:rPr>
                <w:rFonts w:hint="eastAsia" w:ascii="仿宋" w:hAnsi="仿宋" w:eastAsia="仿宋" w:cs="仿宋"/>
                <w:bCs/>
                <w:kern w:val="44"/>
                <w:szCs w:val="21"/>
              </w:rPr>
              <w:t>10</w:t>
            </w:r>
          </w:p>
        </w:tc>
        <w:tc>
          <w:tcPr>
            <w:tcW w:w="5103" w:type="dxa"/>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（一）评审内容</w:t>
            </w:r>
          </w:p>
          <w:p>
            <w:pPr>
              <w:snapToGrid w:val="0"/>
              <w:jc w:val="left"/>
              <w:rPr>
                <w:rFonts w:hint="eastAsia" w:ascii="仿宋" w:hAnsi="仿宋" w:eastAsia="仿宋" w:cs="仿宋"/>
                <w:szCs w:val="21"/>
              </w:rPr>
            </w:pPr>
            <w:r>
              <w:rPr>
                <w:rFonts w:hint="eastAsia" w:ascii="仿宋" w:hAnsi="仿宋" w:eastAsia="仿宋" w:cs="仿宋"/>
                <w:szCs w:val="21"/>
              </w:rPr>
              <w:t>根据招标文件的需求，由投标人做出与本项目实际情况贴切的质量保障方案，需包含下述内容：</w:t>
            </w:r>
          </w:p>
          <w:p>
            <w:pPr>
              <w:snapToGrid w:val="0"/>
              <w:jc w:val="left"/>
              <w:rPr>
                <w:rFonts w:hint="eastAsia" w:ascii="仿宋" w:hAnsi="仿宋" w:eastAsia="仿宋" w:cs="仿宋"/>
                <w:szCs w:val="21"/>
              </w:rPr>
            </w:pPr>
            <w:r>
              <w:rPr>
                <w:rFonts w:hint="eastAsia" w:ascii="仿宋" w:hAnsi="仿宋" w:eastAsia="仿宋" w:cs="仿宋"/>
                <w:szCs w:val="21"/>
              </w:rPr>
              <w:t>1.投标人提供组织管理方案，提出适用于本项目的组织管理架构、核心岗位职责、管理流程等。</w:t>
            </w:r>
          </w:p>
          <w:p>
            <w:pPr>
              <w:snapToGrid w:val="0"/>
              <w:jc w:val="left"/>
              <w:rPr>
                <w:rFonts w:hint="eastAsia" w:ascii="仿宋" w:hAnsi="仿宋" w:eastAsia="仿宋" w:cs="仿宋"/>
                <w:szCs w:val="21"/>
              </w:rPr>
            </w:pPr>
            <w:r>
              <w:rPr>
                <w:rFonts w:hint="eastAsia" w:ascii="仿宋" w:hAnsi="仿宋" w:eastAsia="仿宋" w:cs="仿宋"/>
                <w:szCs w:val="21"/>
              </w:rPr>
              <w:t>2.投标人提供质量保障方案，明确服务与规范审计的过程管控、结果管理、投诉处理及持续改进机制。</w:t>
            </w:r>
          </w:p>
          <w:p>
            <w:pPr>
              <w:snapToGrid w:val="0"/>
              <w:jc w:val="left"/>
              <w:rPr>
                <w:rFonts w:hint="eastAsia" w:ascii="仿宋" w:hAnsi="仿宋" w:eastAsia="仿宋" w:cs="仿宋"/>
                <w:szCs w:val="21"/>
              </w:rPr>
            </w:pPr>
            <w:r>
              <w:rPr>
                <w:rFonts w:hint="eastAsia" w:ascii="仿宋" w:hAnsi="仿宋" w:eastAsia="仿宋" w:cs="仿宋"/>
                <w:szCs w:val="21"/>
              </w:rPr>
              <w:t>3.投标人提供进度控制方案，时间安排、工作节奏符合完成本项目服务工作要求。</w:t>
            </w:r>
          </w:p>
          <w:p>
            <w:pPr>
              <w:snapToGrid w:val="0"/>
              <w:jc w:val="left"/>
              <w:rPr>
                <w:rFonts w:hint="eastAsia" w:ascii="仿宋" w:hAnsi="仿宋" w:eastAsia="仿宋" w:cs="仿宋"/>
                <w:szCs w:val="21"/>
              </w:rPr>
            </w:pPr>
            <w:r>
              <w:rPr>
                <w:rFonts w:hint="eastAsia" w:ascii="仿宋" w:hAnsi="仿宋" w:eastAsia="仿宋" w:cs="仿宋"/>
                <w:szCs w:val="21"/>
              </w:rPr>
              <w:t>（二）评分标准</w:t>
            </w:r>
          </w:p>
          <w:p>
            <w:pPr>
              <w:snapToGrid w:val="0"/>
              <w:jc w:val="left"/>
              <w:rPr>
                <w:rFonts w:hint="eastAsia" w:ascii="仿宋" w:hAnsi="仿宋" w:eastAsia="仿宋" w:cs="仿宋"/>
                <w:szCs w:val="21"/>
              </w:rPr>
            </w:pPr>
            <w:r>
              <w:rPr>
                <w:rFonts w:hint="eastAsia" w:ascii="仿宋" w:hAnsi="仿宋" w:eastAsia="仿宋" w:cs="仿宋"/>
                <w:szCs w:val="21"/>
              </w:rPr>
              <w:t>1.上述内容每满足一项得2分，最高得6分。</w:t>
            </w:r>
          </w:p>
          <w:p>
            <w:pPr>
              <w:snapToGrid w:val="0"/>
              <w:jc w:val="left"/>
              <w:rPr>
                <w:rFonts w:hint="eastAsia" w:ascii="仿宋" w:hAnsi="仿宋" w:eastAsia="仿宋" w:cs="仿宋"/>
                <w:szCs w:val="21"/>
              </w:rPr>
            </w:pPr>
            <w:r>
              <w:rPr>
                <w:rFonts w:hint="eastAsia" w:ascii="仿宋" w:hAnsi="仿宋" w:eastAsia="仿宋" w:cs="仿宋"/>
                <w:szCs w:val="21"/>
              </w:rPr>
              <w:t>2.在此基础上，按照下列情形进行加分：：</w:t>
            </w:r>
          </w:p>
          <w:p>
            <w:pPr>
              <w:snapToGrid w:val="0"/>
              <w:jc w:val="left"/>
              <w:rPr>
                <w:rFonts w:hint="eastAsia" w:ascii="仿宋" w:hAnsi="仿宋" w:eastAsia="仿宋" w:cs="仿宋"/>
                <w:szCs w:val="21"/>
              </w:rPr>
            </w:pPr>
            <w:r>
              <w:rPr>
                <w:rFonts w:hint="eastAsia" w:ascii="仿宋" w:hAnsi="仿宋" w:eastAsia="仿宋" w:cs="仿宋"/>
                <w:szCs w:val="21"/>
              </w:rPr>
              <w:t>（1）项目组织管理方案、质量保障方案、进度控制方案成熟度很强加4分；</w:t>
            </w:r>
          </w:p>
          <w:p>
            <w:pPr>
              <w:snapToGrid w:val="0"/>
              <w:jc w:val="left"/>
              <w:rPr>
                <w:rFonts w:hint="eastAsia" w:ascii="仿宋" w:hAnsi="仿宋" w:eastAsia="仿宋" w:cs="仿宋"/>
                <w:szCs w:val="21"/>
              </w:rPr>
            </w:pPr>
            <w:r>
              <w:rPr>
                <w:rFonts w:hint="eastAsia" w:ascii="仿宋" w:hAnsi="仿宋" w:eastAsia="仿宋" w:cs="仿宋"/>
                <w:szCs w:val="21"/>
              </w:rPr>
              <w:t>（2）项目组织管理方案、质量保障方案、进度控制方案成熟度比较强加2分；</w:t>
            </w:r>
          </w:p>
          <w:p>
            <w:pPr>
              <w:snapToGrid w:val="0"/>
              <w:jc w:val="left"/>
              <w:rPr>
                <w:rFonts w:hint="eastAsia" w:ascii="仿宋" w:hAnsi="仿宋" w:eastAsia="仿宋" w:cs="仿宋"/>
                <w:szCs w:val="21"/>
              </w:rPr>
            </w:pPr>
            <w:r>
              <w:rPr>
                <w:rFonts w:hint="eastAsia" w:ascii="仿宋" w:hAnsi="仿宋" w:eastAsia="仿宋" w:cs="仿宋"/>
                <w:szCs w:val="21"/>
              </w:rPr>
              <w:t>（3）项目组织管理方案、质量保障方案、进度控制方案成熟度中等加1分；</w:t>
            </w:r>
          </w:p>
          <w:p>
            <w:pPr>
              <w:snapToGrid w:val="0"/>
              <w:jc w:val="left"/>
              <w:rPr>
                <w:rFonts w:hint="eastAsia" w:ascii="仿宋" w:hAnsi="仿宋" w:eastAsia="仿宋" w:cs="仿宋"/>
                <w:szCs w:val="21"/>
              </w:rPr>
            </w:pPr>
            <w:r>
              <w:rPr>
                <w:rFonts w:hint="eastAsia" w:ascii="仿宋" w:hAnsi="仿宋" w:eastAsia="仿宋" w:cs="仿宋"/>
                <w:szCs w:val="21"/>
              </w:rPr>
              <w:t>（4）项目组织管理方案、质量保障方案、进度控制方案成熟度一般不加分。如果评审为0分，要求专家书面说明理由，并记录在档。</w:t>
            </w:r>
          </w:p>
          <w:p>
            <w:pPr>
              <w:snapToGrid w:val="0"/>
              <w:jc w:val="left"/>
              <w:rPr>
                <w:rFonts w:hint="eastAsia" w:ascii="仿宋" w:hAnsi="仿宋" w:eastAsia="仿宋" w:cs="仿宋"/>
                <w:szCs w:val="21"/>
              </w:rPr>
            </w:pPr>
            <w:r>
              <w:rPr>
                <w:rFonts w:hint="eastAsia" w:ascii="仿宋" w:hAnsi="仿宋" w:eastAsia="仿宋" w:cs="仿宋"/>
                <w:szCs w:val="21"/>
              </w:rPr>
              <w:t>以上1-2项得分累计，最高得分10分。</w:t>
            </w:r>
          </w:p>
        </w:tc>
        <w:tc>
          <w:tcPr>
            <w:tcW w:w="1130" w:type="dxa"/>
            <w:noWrap w:val="0"/>
            <w:vAlign w:val="center"/>
          </w:tcPr>
          <w:p>
            <w:pPr>
              <w:jc w:val="left"/>
              <w:rPr>
                <w:rFonts w:hint="eastAsia" w:ascii="仿宋" w:hAnsi="仿宋" w:eastAsia="仿宋" w:cs="仿宋"/>
                <w:szCs w:val="21"/>
              </w:rPr>
            </w:pPr>
            <w:r>
              <w:rPr>
                <w:rFonts w:hint="eastAsia" w:ascii="仿宋" w:hAnsi="仿宋" w:eastAsia="仿宋" w:cs="仿宋"/>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611" w:type="dxa"/>
            <w:noWrap w:val="0"/>
            <w:vAlign w:val="center"/>
          </w:tcPr>
          <w:p>
            <w:pPr>
              <w:autoSpaceDE w:val="0"/>
              <w:autoSpaceDN w:val="0"/>
              <w:adjustRightInd w:val="0"/>
              <w:jc w:val="left"/>
              <w:rPr>
                <w:rFonts w:hint="eastAsia" w:ascii="仿宋" w:hAnsi="仿宋" w:eastAsia="仿宋" w:cs="仿宋"/>
                <w:szCs w:val="21"/>
              </w:rPr>
            </w:pPr>
            <w:r>
              <w:rPr>
                <w:rFonts w:hint="eastAsia" w:ascii="仿宋" w:hAnsi="仿宋" w:eastAsia="仿宋" w:cs="仿宋"/>
                <w:szCs w:val="21"/>
              </w:rPr>
              <w:t>4</w:t>
            </w:r>
          </w:p>
        </w:tc>
        <w:tc>
          <w:tcPr>
            <w:tcW w:w="1704" w:type="dxa"/>
            <w:noWrap w:val="0"/>
            <w:vAlign w:val="center"/>
          </w:tcPr>
          <w:p>
            <w:pPr>
              <w:snapToGrid w:val="0"/>
              <w:jc w:val="left"/>
              <w:rPr>
                <w:rFonts w:hint="eastAsia" w:ascii="仿宋" w:hAnsi="仿宋" w:eastAsia="仿宋" w:cs="仿宋"/>
                <w:bCs/>
                <w:kern w:val="44"/>
                <w:szCs w:val="21"/>
              </w:rPr>
            </w:pPr>
            <w:r>
              <w:rPr>
                <w:rFonts w:hint="eastAsia" w:ascii="仿宋" w:hAnsi="仿宋" w:eastAsia="仿宋" w:cs="仿宋"/>
                <w:szCs w:val="21"/>
              </w:rPr>
              <w:t>项目完成后的服务承诺</w:t>
            </w:r>
          </w:p>
        </w:tc>
        <w:tc>
          <w:tcPr>
            <w:tcW w:w="717" w:type="dxa"/>
            <w:noWrap w:val="0"/>
            <w:vAlign w:val="center"/>
          </w:tcPr>
          <w:p>
            <w:pPr>
              <w:snapToGrid w:val="0"/>
              <w:jc w:val="left"/>
              <w:rPr>
                <w:rFonts w:hint="eastAsia" w:ascii="仿宋" w:hAnsi="仿宋" w:eastAsia="仿宋" w:cs="仿宋"/>
                <w:bCs/>
                <w:kern w:val="44"/>
                <w:szCs w:val="21"/>
              </w:rPr>
            </w:pPr>
            <w:r>
              <w:rPr>
                <w:rFonts w:hint="eastAsia" w:ascii="仿宋" w:hAnsi="仿宋" w:eastAsia="仿宋" w:cs="仿宋"/>
                <w:bCs/>
                <w:kern w:val="44"/>
                <w:szCs w:val="21"/>
              </w:rPr>
              <w:t>5</w:t>
            </w:r>
          </w:p>
        </w:tc>
        <w:tc>
          <w:tcPr>
            <w:tcW w:w="5103" w:type="dxa"/>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（一）评审内容</w:t>
            </w:r>
          </w:p>
          <w:p>
            <w:pPr>
              <w:snapToGrid w:val="0"/>
              <w:jc w:val="left"/>
              <w:rPr>
                <w:rFonts w:hint="eastAsia" w:ascii="仿宋" w:hAnsi="仿宋" w:eastAsia="仿宋" w:cs="仿宋"/>
                <w:szCs w:val="21"/>
              </w:rPr>
            </w:pPr>
            <w:r>
              <w:rPr>
                <w:rFonts w:hint="eastAsia" w:ascii="仿宋" w:hAnsi="仿宋" w:eastAsia="仿宋" w:cs="仿宋"/>
                <w:szCs w:val="21"/>
              </w:rPr>
              <w:t>提供服务承诺，包含但不限于以下内容：</w:t>
            </w:r>
          </w:p>
          <w:p>
            <w:pPr>
              <w:snapToGrid w:val="0"/>
              <w:jc w:val="left"/>
              <w:rPr>
                <w:rFonts w:hint="eastAsia" w:ascii="仿宋" w:hAnsi="仿宋" w:eastAsia="仿宋" w:cs="仿宋"/>
                <w:szCs w:val="21"/>
              </w:rPr>
            </w:pPr>
            <w:r>
              <w:rPr>
                <w:rFonts w:hint="eastAsia" w:ascii="仿宋" w:hAnsi="仿宋" w:eastAsia="仿宋" w:cs="仿宋"/>
                <w:szCs w:val="21"/>
              </w:rPr>
              <w:t>1.项目验收后，若采购人有与本项目相关的问题需要咨询，将提供相关的咨询服务。</w:t>
            </w:r>
          </w:p>
          <w:p>
            <w:pPr>
              <w:snapToGrid w:val="0"/>
              <w:jc w:val="left"/>
              <w:rPr>
                <w:rFonts w:hint="eastAsia" w:ascii="仿宋" w:hAnsi="仿宋" w:eastAsia="仿宋" w:cs="仿宋"/>
                <w:szCs w:val="21"/>
              </w:rPr>
            </w:pPr>
            <w:r>
              <w:rPr>
                <w:rFonts w:hint="eastAsia" w:ascii="仿宋" w:hAnsi="仿宋" w:eastAsia="仿宋" w:cs="仿宋"/>
                <w:szCs w:val="21"/>
              </w:rPr>
              <w:t>2.配合采购人做好审计结果的运用、整改督促等后续相关工作。</w:t>
            </w:r>
          </w:p>
          <w:p>
            <w:pPr>
              <w:snapToGrid w:val="0"/>
              <w:jc w:val="left"/>
              <w:rPr>
                <w:rFonts w:hint="eastAsia" w:ascii="仿宋" w:hAnsi="仿宋" w:eastAsia="仿宋" w:cs="仿宋"/>
                <w:szCs w:val="21"/>
              </w:rPr>
            </w:pPr>
            <w:r>
              <w:rPr>
                <w:rFonts w:hint="eastAsia" w:ascii="仿宋" w:hAnsi="仿宋" w:eastAsia="仿宋" w:cs="仿宋"/>
                <w:szCs w:val="21"/>
              </w:rPr>
              <w:t>（二）评审标准</w:t>
            </w:r>
          </w:p>
          <w:p>
            <w:pPr>
              <w:snapToGrid w:val="0"/>
              <w:jc w:val="left"/>
              <w:rPr>
                <w:rFonts w:hint="eastAsia" w:ascii="仿宋" w:hAnsi="仿宋" w:eastAsia="仿宋" w:cs="仿宋"/>
                <w:szCs w:val="21"/>
              </w:rPr>
            </w:pPr>
            <w:r>
              <w:rPr>
                <w:rFonts w:hint="eastAsia" w:ascii="仿宋" w:hAnsi="仿宋" w:eastAsia="仿宋" w:cs="仿宋"/>
                <w:szCs w:val="21"/>
              </w:rPr>
              <w:t>由投标人做出服务书面承诺，承诺满足要求的得5分，未提供承诺或承诺内容不满足要求不得分，格式自定。</w:t>
            </w:r>
          </w:p>
        </w:tc>
        <w:tc>
          <w:tcPr>
            <w:tcW w:w="1130" w:type="dxa"/>
            <w:noWrap w:val="0"/>
            <w:vAlign w:val="center"/>
          </w:tcPr>
          <w:p>
            <w:pPr>
              <w:jc w:val="left"/>
              <w:rPr>
                <w:rFonts w:hint="eastAsia" w:ascii="仿宋" w:hAnsi="仿宋" w:eastAsia="仿宋" w:cs="仿宋"/>
                <w:szCs w:val="21"/>
              </w:rPr>
            </w:pPr>
            <w:r>
              <w:rPr>
                <w:rFonts w:hint="eastAsia" w:ascii="仿宋" w:hAnsi="仿宋" w:eastAsia="仿宋" w:cs="仿宋"/>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611" w:type="dxa"/>
            <w:noWrap w:val="0"/>
            <w:vAlign w:val="center"/>
          </w:tcPr>
          <w:p>
            <w:pPr>
              <w:autoSpaceDE w:val="0"/>
              <w:autoSpaceDN w:val="0"/>
              <w:adjustRightInd w:val="0"/>
              <w:jc w:val="left"/>
              <w:rPr>
                <w:rFonts w:hint="eastAsia" w:ascii="仿宋" w:hAnsi="仿宋" w:eastAsia="仿宋" w:cs="仿宋"/>
                <w:szCs w:val="21"/>
              </w:rPr>
            </w:pPr>
            <w:r>
              <w:rPr>
                <w:rFonts w:hint="eastAsia" w:ascii="仿宋" w:hAnsi="仿宋" w:eastAsia="仿宋" w:cs="仿宋"/>
                <w:szCs w:val="21"/>
              </w:rPr>
              <w:t>5</w:t>
            </w:r>
          </w:p>
        </w:tc>
        <w:tc>
          <w:tcPr>
            <w:tcW w:w="1704" w:type="dxa"/>
            <w:noWrap w:val="0"/>
            <w:vAlign w:val="center"/>
          </w:tcPr>
          <w:p>
            <w:pPr>
              <w:snapToGrid w:val="0"/>
              <w:jc w:val="left"/>
              <w:rPr>
                <w:rFonts w:hint="eastAsia" w:ascii="仿宋" w:hAnsi="仿宋" w:eastAsia="仿宋" w:cs="仿宋"/>
                <w:bCs/>
                <w:szCs w:val="21"/>
              </w:rPr>
            </w:pPr>
            <w:r>
              <w:rPr>
                <w:rFonts w:hint="eastAsia" w:ascii="仿宋" w:hAnsi="仿宋" w:eastAsia="仿宋" w:cs="仿宋"/>
                <w:szCs w:val="21"/>
              </w:rPr>
              <w:t>违约承诺</w:t>
            </w:r>
          </w:p>
        </w:tc>
        <w:tc>
          <w:tcPr>
            <w:tcW w:w="717" w:type="dxa"/>
            <w:noWrap w:val="0"/>
            <w:vAlign w:val="center"/>
          </w:tcPr>
          <w:p>
            <w:pPr>
              <w:snapToGrid w:val="0"/>
              <w:jc w:val="left"/>
              <w:rPr>
                <w:rFonts w:hint="eastAsia" w:ascii="仿宋" w:hAnsi="仿宋" w:eastAsia="仿宋" w:cs="仿宋"/>
                <w:bCs/>
                <w:kern w:val="44"/>
                <w:szCs w:val="21"/>
              </w:rPr>
            </w:pPr>
            <w:r>
              <w:rPr>
                <w:rFonts w:hint="eastAsia" w:ascii="仿宋" w:hAnsi="仿宋" w:eastAsia="仿宋" w:cs="仿宋"/>
                <w:bCs/>
                <w:kern w:val="44"/>
                <w:szCs w:val="21"/>
              </w:rPr>
              <w:t>5</w:t>
            </w:r>
          </w:p>
        </w:tc>
        <w:tc>
          <w:tcPr>
            <w:tcW w:w="5103" w:type="dxa"/>
            <w:noWrap w:val="0"/>
            <w:vAlign w:val="center"/>
          </w:tcPr>
          <w:p>
            <w:pPr>
              <w:jc w:val="left"/>
              <w:rPr>
                <w:rFonts w:hint="eastAsia" w:ascii="仿宋" w:hAnsi="仿宋" w:eastAsia="仿宋" w:cs="仿宋"/>
                <w:szCs w:val="21"/>
              </w:rPr>
            </w:pPr>
            <w:r>
              <w:rPr>
                <w:rFonts w:hint="eastAsia" w:ascii="仿宋" w:hAnsi="仿宋" w:eastAsia="仿宋" w:cs="仿宋"/>
                <w:szCs w:val="21"/>
              </w:rPr>
              <w:t>（一）评审内容</w:t>
            </w:r>
          </w:p>
          <w:p>
            <w:pPr>
              <w:jc w:val="left"/>
              <w:rPr>
                <w:rFonts w:hint="eastAsia" w:ascii="仿宋" w:hAnsi="仿宋" w:eastAsia="仿宋" w:cs="仿宋"/>
                <w:szCs w:val="21"/>
              </w:rPr>
            </w:pPr>
            <w:r>
              <w:rPr>
                <w:rFonts w:hint="eastAsia" w:ascii="仿宋" w:hAnsi="仿宋" w:eastAsia="仿宋" w:cs="仿宋"/>
                <w:szCs w:val="21"/>
              </w:rPr>
              <w:t>根据招标文件需求，做出相应的违约承诺，包含但不限于以下内容：</w:t>
            </w:r>
          </w:p>
          <w:p>
            <w:pPr>
              <w:jc w:val="left"/>
              <w:rPr>
                <w:rFonts w:hint="eastAsia" w:ascii="仿宋" w:hAnsi="仿宋" w:eastAsia="仿宋" w:cs="仿宋"/>
                <w:szCs w:val="21"/>
              </w:rPr>
            </w:pPr>
            <w:r>
              <w:rPr>
                <w:rFonts w:hint="eastAsia" w:ascii="仿宋" w:hAnsi="仿宋" w:eastAsia="仿宋" w:cs="仿宋"/>
                <w:szCs w:val="21"/>
              </w:rPr>
              <w:t>承诺满足采购文件“ 违约责任”中关于违约责任的全部内容，并提供《违约承诺函》。</w:t>
            </w:r>
          </w:p>
          <w:p>
            <w:pPr>
              <w:jc w:val="left"/>
              <w:rPr>
                <w:rFonts w:hint="eastAsia" w:ascii="仿宋" w:hAnsi="仿宋" w:eastAsia="仿宋" w:cs="仿宋"/>
                <w:szCs w:val="21"/>
              </w:rPr>
            </w:pPr>
            <w:r>
              <w:rPr>
                <w:rFonts w:hint="eastAsia" w:ascii="仿宋" w:hAnsi="仿宋" w:eastAsia="仿宋" w:cs="仿宋"/>
                <w:szCs w:val="21"/>
              </w:rPr>
              <w:t>（二）评审标准</w:t>
            </w:r>
          </w:p>
          <w:p>
            <w:pPr>
              <w:jc w:val="left"/>
              <w:rPr>
                <w:rFonts w:hint="eastAsia" w:ascii="仿宋" w:hAnsi="仿宋" w:eastAsia="仿宋" w:cs="仿宋"/>
                <w:bCs/>
                <w:kern w:val="44"/>
                <w:szCs w:val="21"/>
              </w:rPr>
            </w:pPr>
            <w:r>
              <w:rPr>
                <w:rFonts w:hint="eastAsia" w:ascii="仿宋" w:hAnsi="仿宋" w:eastAsia="仿宋" w:cs="仿宋"/>
                <w:szCs w:val="21"/>
              </w:rPr>
              <w:t>要求提供违约承诺（格式自定）作为得分依据，承诺满足要求的得5分，未提供承诺或承诺内容不满足要求不得分。</w:t>
            </w:r>
          </w:p>
        </w:tc>
        <w:tc>
          <w:tcPr>
            <w:tcW w:w="1130" w:type="dxa"/>
            <w:noWrap w:val="0"/>
            <w:vAlign w:val="center"/>
          </w:tcPr>
          <w:p>
            <w:pPr>
              <w:jc w:val="left"/>
              <w:rPr>
                <w:rFonts w:hint="eastAsia" w:ascii="仿宋" w:hAnsi="仿宋" w:eastAsia="仿宋" w:cs="仿宋"/>
                <w:szCs w:val="21"/>
              </w:rPr>
            </w:pPr>
            <w:r>
              <w:rPr>
                <w:rFonts w:hint="eastAsia" w:ascii="仿宋" w:hAnsi="仿宋" w:eastAsia="仿宋" w:cs="仿宋"/>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135" w:type="dxa"/>
            <w:gridSpan w:val="4"/>
            <w:noWrap w:val="0"/>
            <w:vAlign w:val="center"/>
          </w:tcPr>
          <w:p>
            <w:pPr>
              <w:autoSpaceDE w:val="0"/>
              <w:autoSpaceDN w:val="0"/>
              <w:adjustRightInd w:val="0"/>
              <w:jc w:val="left"/>
              <w:rPr>
                <w:rFonts w:hint="eastAsia" w:ascii="仿宋" w:hAnsi="仿宋" w:eastAsia="仿宋" w:cs="仿宋"/>
                <w:b/>
                <w:bCs/>
                <w:szCs w:val="21"/>
                <w:lang w:val="zh-CN"/>
              </w:rPr>
            </w:pPr>
            <w:r>
              <w:rPr>
                <w:rFonts w:hint="eastAsia" w:ascii="仿宋" w:hAnsi="仿宋" w:eastAsia="仿宋" w:cs="仿宋"/>
                <w:b/>
                <w:bCs/>
                <w:szCs w:val="21"/>
                <w:lang w:val="zh-CN"/>
              </w:rPr>
              <w:t>三、技术部分</w:t>
            </w:r>
          </w:p>
        </w:tc>
        <w:tc>
          <w:tcPr>
            <w:tcW w:w="1130" w:type="dxa"/>
            <w:noWrap w:val="0"/>
            <w:vAlign w:val="center"/>
          </w:tcPr>
          <w:p>
            <w:pPr>
              <w:autoSpaceDE w:val="0"/>
              <w:autoSpaceDN w:val="0"/>
              <w:adjustRightInd w:val="0"/>
              <w:jc w:val="left"/>
              <w:rPr>
                <w:rFonts w:hint="eastAsia" w:ascii="仿宋" w:hAnsi="仿宋" w:eastAsia="仿宋" w:cs="仿宋"/>
                <w:color w:val="000000"/>
                <w:szCs w:val="21"/>
              </w:rPr>
            </w:pPr>
            <w:r>
              <w:rPr>
                <w:rFonts w:hint="eastAsia" w:ascii="仿宋" w:hAnsi="仿宋" w:eastAsia="仿宋" w:cs="仿宋"/>
                <w:color w:val="000000"/>
                <w:szCs w:val="21"/>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611" w:type="dxa"/>
            <w:noWrap w:val="0"/>
            <w:vAlign w:val="center"/>
          </w:tcPr>
          <w:p>
            <w:pPr>
              <w:jc w:val="left"/>
              <w:rPr>
                <w:rFonts w:hint="eastAsia" w:ascii="仿宋" w:hAnsi="仿宋" w:eastAsia="仿宋" w:cs="仿宋"/>
                <w:szCs w:val="21"/>
              </w:rPr>
            </w:pPr>
            <w:r>
              <w:rPr>
                <w:rFonts w:hint="eastAsia" w:ascii="仿宋" w:hAnsi="仿宋" w:eastAsia="仿宋" w:cs="仿宋"/>
                <w:szCs w:val="21"/>
                <w:lang w:val="zh-CN"/>
              </w:rPr>
              <w:t>序号</w:t>
            </w:r>
          </w:p>
        </w:tc>
        <w:tc>
          <w:tcPr>
            <w:tcW w:w="1704" w:type="dxa"/>
            <w:noWrap w:val="0"/>
            <w:vAlign w:val="center"/>
          </w:tcPr>
          <w:p>
            <w:pPr>
              <w:jc w:val="left"/>
              <w:rPr>
                <w:rFonts w:hint="eastAsia" w:ascii="仿宋" w:hAnsi="仿宋" w:eastAsia="仿宋" w:cs="仿宋"/>
                <w:szCs w:val="21"/>
              </w:rPr>
            </w:pPr>
            <w:r>
              <w:rPr>
                <w:rFonts w:hint="eastAsia" w:ascii="仿宋" w:hAnsi="仿宋" w:eastAsia="仿宋" w:cs="仿宋"/>
                <w:szCs w:val="21"/>
                <w:lang w:val="zh-CN"/>
              </w:rPr>
              <w:t>内容</w:t>
            </w:r>
          </w:p>
        </w:tc>
        <w:tc>
          <w:tcPr>
            <w:tcW w:w="717" w:type="dxa"/>
            <w:noWrap w:val="0"/>
            <w:vAlign w:val="center"/>
          </w:tcPr>
          <w:p>
            <w:pPr>
              <w:jc w:val="left"/>
              <w:rPr>
                <w:rFonts w:hint="eastAsia" w:ascii="仿宋" w:hAnsi="仿宋" w:eastAsia="仿宋" w:cs="仿宋"/>
                <w:szCs w:val="21"/>
              </w:rPr>
            </w:pPr>
            <w:r>
              <w:rPr>
                <w:rFonts w:hint="eastAsia" w:ascii="仿宋" w:hAnsi="仿宋" w:eastAsia="仿宋" w:cs="仿宋"/>
                <w:szCs w:val="21"/>
                <w:lang w:val="zh-CN"/>
              </w:rPr>
              <w:t>权重</w:t>
            </w:r>
          </w:p>
        </w:tc>
        <w:tc>
          <w:tcPr>
            <w:tcW w:w="5103" w:type="dxa"/>
            <w:noWrap w:val="0"/>
            <w:vAlign w:val="center"/>
          </w:tcPr>
          <w:p>
            <w:pPr>
              <w:jc w:val="left"/>
              <w:rPr>
                <w:rFonts w:hint="eastAsia" w:ascii="仿宋" w:hAnsi="仿宋" w:eastAsia="仿宋" w:cs="仿宋"/>
                <w:szCs w:val="21"/>
                <w:lang w:val="zh-CN"/>
              </w:rPr>
            </w:pPr>
            <w:r>
              <w:rPr>
                <w:rFonts w:hint="eastAsia" w:ascii="仿宋" w:hAnsi="仿宋" w:eastAsia="仿宋" w:cs="仿宋"/>
                <w:szCs w:val="21"/>
                <w:lang w:val="zh-CN"/>
              </w:rPr>
              <w:t>评分规则</w:t>
            </w:r>
          </w:p>
        </w:tc>
        <w:tc>
          <w:tcPr>
            <w:tcW w:w="1130" w:type="dxa"/>
            <w:noWrap w:val="0"/>
            <w:vAlign w:val="center"/>
          </w:tcPr>
          <w:p>
            <w:pPr>
              <w:autoSpaceDE w:val="0"/>
              <w:autoSpaceDN w:val="0"/>
              <w:adjustRightInd w:val="0"/>
              <w:jc w:val="center"/>
              <w:rPr>
                <w:rFonts w:hint="eastAsia" w:ascii="仿宋" w:hAnsi="仿宋" w:eastAsia="仿宋" w:cs="仿宋"/>
                <w:szCs w:val="21"/>
                <w:lang w:val="zh-CN"/>
              </w:rPr>
            </w:pPr>
            <w:r>
              <w:rPr>
                <w:rFonts w:hint="eastAsia" w:ascii="仿宋" w:hAnsi="仿宋" w:eastAsia="仿宋" w:cs="仿宋"/>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11" w:type="dxa"/>
            <w:noWrap w:val="0"/>
            <w:vAlign w:val="center"/>
          </w:tcPr>
          <w:p>
            <w:pPr>
              <w:jc w:val="left"/>
              <w:rPr>
                <w:rFonts w:hint="eastAsia" w:ascii="仿宋" w:hAnsi="仿宋" w:eastAsia="仿宋" w:cs="仿宋"/>
                <w:szCs w:val="21"/>
                <w:lang w:val="zh-CN"/>
              </w:rPr>
            </w:pPr>
            <w:r>
              <w:rPr>
                <w:rFonts w:hint="eastAsia" w:ascii="仿宋" w:hAnsi="仿宋" w:eastAsia="仿宋" w:cs="仿宋"/>
                <w:szCs w:val="21"/>
                <w:lang w:val="zh-CN"/>
              </w:rPr>
              <w:t>1</w:t>
            </w:r>
          </w:p>
        </w:tc>
        <w:tc>
          <w:tcPr>
            <w:tcW w:w="1704" w:type="dxa"/>
            <w:noWrap w:val="0"/>
            <w:vAlign w:val="center"/>
          </w:tcPr>
          <w:p>
            <w:pPr>
              <w:jc w:val="left"/>
              <w:rPr>
                <w:rFonts w:hint="eastAsia" w:ascii="仿宋" w:hAnsi="仿宋" w:eastAsia="仿宋" w:cs="仿宋"/>
                <w:szCs w:val="21"/>
              </w:rPr>
            </w:pPr>
            <w:r>
              <w:rPr>
                <w:rFonts w:hint="eastAsia" w:ascii="仿宋" w:hAnsi="仿宋" w:eastAsia="仿宋" w:cs="仿宋"/>
                <w:szCs w:val="21"/>
              </w:rPr>
              <w:t>同类项目经验</w:t>
            </w:r>
          </w:p>
        </w:tc>
        <w:tc>
          <w:tcPr>
            <w:tcW w:w="717" w:type="dxa"/>
            <w:noWrap w:val="0"/>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10</w:t>
            </w:r>
          </w:p>
        </w:tc>
        <w:tc>
          <w:tcPr>
            <w:tcW w:w="5103" w:type="dxa"/>
            <w:noWrap w:val="0"/>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（一）评审内容</w:t>
            </w:r>
          </w:p>
          <w:p>
            <w:pPr>
              <w:jc w:val="left"/>
              <w:rPr>
                <w:rFonts w:hint="eastAsia" w:ascii="仿宋" w:hAnsi="仿宋" w:eastAsia="仿宋" w:cs="仿宋"/>
                <w:color w:val="000000"/>
                <w:szCs w:val="21"/>
              </w:rPr>
            </w:pPr>
            <w:r>
              <w:rPr>
                <w:rFonts w:hint="eastAsia" w:ascii="仿宋" w:hAnsi="仿宋" w:eastAsia="仿宋" w:cs="仿宋"/>
                <w:color w:val="000000"/>
                <w:szCs w:val="21"/>
              </w:rPr>
              <w:t>自2023年1月1日至投标截止日，以合同签订时间为准，具备以下经验的：</w:t>
            </w:r>
          </w:p>
          <w:p>
            <w:pPr>
              <w:jc w:val="left"/>
              <w:rPr>
                <w:rFonts w:hint="eastAsia" w:ascii="仿宋" w:hAnsi="仿宋" w:eastAsia="仿宋" w:cs="仿宋"/>
                <w:color w:val="000000"/>
                <w:szCs w:val="21"/>
              </w:rPr>
            </w:pPr>
            <w:r>
              <w:rPr>
                <w:rFonts w:hint="eastAsia" w:ascii="仿宋" w:hAnsi="仿宋" w:eastAsia="仿宋" w:cs="仿宋"/>
                <w:color w:val="000000"/>
                <w:szCs w:val="21"/>
              </w:rPr>
              <w:t>具备养老服务及相关项目审计经验的，每个得1分，此项累计不超过5分；</w:t>
            </w:r>
          </w:p>
          <w:p>
            <w:pPr>
              <w:jc w:val="left"/>
              <w:rPr>
                <w:rFonts w:hint="eastAsia" w:ascii="仿宋" w:hAnsi="仿宋" w:eastAsia="仿宋" w:cs="仿宋"/>
                <w:color w:val="000000"/>
                <w:szCs w:val="21"/>
              </w:rPr>
            </w:pPr>
            <w:r>
              <w:rPr>
                <w:rFonts w:hint="eastAsia" w:ascii="仿宋" w:hAnsi="仿宋" w:eastAsia="仿宋" w:cs="仿宋"/>
                <w:color w:val="000000"/>
                <w:szCs w:val="21"/>
              </w:rPr>
              <w:t>具备绩效评价经验的，每个得1分，此项累计不超过5分；</w:t>
            </w:r>
          </w:p>
          <w:p>
            <w:pPr>
              <w:jc w:val="left"/>
              <w:rPr>
                <w:rFonts w:hint="eastAsia" w:ascii="仿宋" w:hAnsi="仿宋" w:eastAsia="仿宋" w:cs="仿宋"/>
                <w:color w:val="000000"/>
                <w:szCs w:val="21"/>
              </w:rPr>
            </w:pPr>
            <w:r>
              <w:rPr>
                <w:rFonts w:hint="eastAsia" w:ascii="仿宋" w:hAnsi="仿宋" w:eastAsia="仿宋" w:cs="仿宋"/>
                <w:color w:val="000000"/>
                <w:szCs w:val="21"/>
              </w:rPr>
              <w:t>以上累加计分，满分为10分。</w:t>
            </w:r>
          </w:p>
          <w:p>
            <w:pPr>
              <w:widowControl/>
              <w:overflowPunct w:val="0"/>
              <w:snapToGrid w:val="0"/>
              <w:jc w:val="left"/>
              <w:rPr>
                <w:rFonts w:hint="eastAsia" w:ascii="仿宋" w:hAnsi="仿宋" w:eastAsia="仿宋" w:cs="仿宋"/>
                <w:bCs/>
                <w:color w:val="000000"/>
                <w:spacing w:val="10"/>
                <w:szCs w:val="21"/>
                <w:lang w:bidi="ar"/>
              </w:rPr>
            </w:pPr>
            <w:r>
              <w:rPr>
                <w:rFonts w:hint="eastAsia" w:ascii="仿宋" w:hAnsi="仿宋" w:eastAsia="仿宋" w:cs="仿宋"/>
                <w:bCs/>
                <w:color w:val="000000"/>
                <w:spacing w:val="10"/>
                <w:szCs w:val="21"/>
                <w:lang w:bidi="ar"/>
              </w:rPr>
              <w:t>（二）评审标准</w:t>
            </w:r>
          </w:p>
          <w:p>
            <w:pPr>
              <w:jc w:val="left"/>
              <w:rPr>
                <w:rFonts w:hint="eastAsia" w:ascii="仿宋" w:hAnsi="仿宋" w:eastAsia="仿宋" w:cs="仿宋"/>
                <w:color w:val="000000"/>
                <w:szCs w:val="21"/>
              </w:rPr>
            </w:pPr>
            <w:r>
              <w:rPr>
                <w:rFonts w:hint="eastAsia" w:ascii="仿宋" w:hAnsi="仿宋" w:eastAsia="仿宋" w:cs="仿宋"/>
                <w:color w:val="000000"/>
                <w:szCs w:val="21"/>
              </w:rPr>
              <w:t>1.要求同时提供合同关键信息（含签订合同双方的单位名称、合同项目名称与含签订合同双方的落款盖章、签订日期的关键页）作为得分依据。</w:t>
            </w:r>
          </w:p>
          <w:p>
            <w:pPr>
              <w:jc w:val="left"/>
              <w:rPr>
                <w:rFonts w:hint="eastAsia" w:ascii="仿宋" w:hAnsi="仿宋" w:eastAsia="仿宋" w:cs="仿宋"/>
                <w:color w:val="000000"/>
                <w:szCs w:val="21"/>
              </w:rPr>
            </w:pPr>
            <w:r>
              <w:rPr>
                <w:rFonts w:hint="eastAsia" w:ascii="仿宋" w:hAnsi="仿宋" w:eastAsia="仿宋" w:cs="仿宋"/>
                <w:color w:val="000000"/>
                <w:szCs w:val="21"/>
              </w:rPr>
              <w:t>2.通过合同关键信息无法判断是否得分的，还须同时提供能证明得分的其它证明资料，如项目报告等。</w:t>
            </w:r>
          </w:p>
          <w:p>
            <w:pPr>
              <w:jc w:val="left"/>
              <w:rPr>
                <w:rFonts w:hint="eastAsia" w:ascii="仿宋" w:hAnsi="仿宋" w:eastAsia="仿宋" w:cs="仿宋"/>
                <w:color w:val="000000"/>
                <w:szCs w:val="21"/>
              </w:rPr>
            </w:pPr>
            <w:r>
              <w:rPr>
                <w:rFonts w:hint="eastAsia" w:ascii="仿宋" w:hAnsi="仿宋" w:eastAsia="仿宋" w:cs="仿宋"/>
                <w:color w:val="000000"/>
                <w:szCs w:val="21"/>
              </w:rPr>
              <w:t>3.以上资料均要求提供复印件加盖投标人公章，原件备查。评分中出现无证明资料或专家无法凭所提供资料判断是否得分的情况，一律作不得分处理。</w:t>
            </w:r>
          </w:p>
        </w:tc>
        <w:tc>
          <w:tcPr>
            <w:tcW w:w="1130" w:type="dxa"/>
            <w:noWrap w:val="0"/>
            <w:vAlign w:val="center"/>
          </w:tcPr>
          <w:p>
            <w:pPr>
              <w:adjustRightInd w:val="0"/>
              <w:snapToGrid w:val="0"/>
              <w:jc w:val="left"/>
              <w:rPr>
                <w:rFonts w:hint="eastAsia" w:ascii="仿宋" w:hAnsi="仿宋" w:eastAsia="仿宋" w:cs="仿宋"/>
                <w:szCs w:val="21"/>
              </w:rPr>
            </w:pPr>
            <w:r>
              <w:rPr>
                <w:rFonts w:hint="eastAsia" w:ascii="仿宋" w:hAnsi="仿宋" w:eastAsia="仿宋" w:cs="仿宋"/>
                <w:szCs w:val="21"/>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11" w:type="dxa"/>
            <w:noWrap w:val="0"/>
            <w:vAlign w:val="center"/>
          </w:tcPr>
          <w:p>
            <w:pPr>
              <w:jc w:val="left"/>
              <w:rPr>
                <w:rFonts w:hint="eastAsia" w:ascii="仿宋" w:hAnsi="仿宋" w:eastAsia="仿宋" w:cs="仿宋"/>
                <w:szCs w:val="21"/>
              </w:rPr>
            </w:pPr>
            <w:r>
              <w:rPr>
                <w:rFonts w:hint="eastAsia" w:ascii="仿宋" w:hAnsi="仿宋" w:eastAsia="仿宋" w:cs="仿宋"/>
                <w:szCs w:val="21"/>
              </w:rPr>
              <w:t>2</w:t>
            </w:r>
          </w:p>
        </w:tc>
        <w:tc>
          <w:tcPr>
            <w:tcW w:w="1704" w:type="dxa"/>
            <w:noWrap w:val="0"/>
            <w:vAlign w:val="center"/>
          </w:tcPr>
          <w:p>
            <w:pPr>
              <w:jc w:val="left"/>
              <w:rPr>
                <w:rFonts w:hint="eastAsia" w:ascii="仿宋" w:hAnsi="仿宋" w:eastAsia="仿宋" w:cs="仿宋"/>
                <w:szCs w:val="21"/>
              </w:rPr>
            </w:pPr>
            <w:r>
              <w:rPr>
                <w:rFonts w:hint="eastAsia" w:ascii="仿宋" w:hAnsi="仿宋" w:eastAsia="仿宋" w:cs="仿宋"/>
                <w:szCs w:val="21"/>
              </w:rPr>
              <w:t>拟安排项目团队情况（不包括团队负责人）</w:t>
            </w:r>
          </w:p>
        </w:tc>
        <w:tc>
          <w:tcPr>
            <w:tcW w:w="717" w:type="dxa"/>
            <w:noWrap w:val="0"/>
            <w:vAlign w:val="center"/>
          </w:tcPr>
          <w:p>
            <w:pPr>
              <w:jc w:val="left"/>
              <w:rPr>
                <w:rFonts w:hint="eastAsia" w:ascii="仿宋" w:hAnsi="仿宋" w:eastAsia="仿宋" w:cs="仿宋"/>
                <w:szCs w:val="21"/>
              </w:rPr>
            </w:pPr>
            <w:r>
              <w:rPr>
                <w:rFonts w:hint="eastAsia" w:ascii="仿宋" w:hAnsi="仿宋" w:eastAsia="仿宋" w:cs="仿宋"/>
                <w:szCs w:val="21"/>
              </w:rPr>
              <w:t>20</w:t>
            </w:r>
          </w:p>
        </w:tc>
        <w:tc>
          <w:tcPr>
            <w:tcW w:w="5103" w:type="dxa"/>
            <w:noWrap w:val="0"/>
            <w:vAlign w:val="center"/>
          </w:tcPr>
          <w:p>
            <w:pPr>
              <w:jc w:val="left"/>
              <w:rPr>
                <w:rFonts w:hint="eastAsia" w:ascii="仿宋" w:hAnsi="仿宋" w:eastAsia="仿宋" w:cs="仿宋"/>
                <w:szCs w:val="21"/>
              </w:rPr>
            </w:pPr>
            <w:r>
              <w:rPr>
                <w:rFonts w:hint="eastAsia" w:ascii="仿宋" w:hAnsi="仿宋" w:eastAsia="仿宋" w:cs="仿宋"/>
                <w:szCs w:val="21"/>
              </w:rPr>
              <w:t>（一）评审内容</w:t>
            </w:r>
          </w:p>
          <w:p>
            <w:pPr>
              <w:jc w:val="left"/>
              <w:rPr>
                <w:rFonts w:hint="eastAsia" w:ascii="仿宋" w:hAnsi="仿宋" w:eastAsia="仿宋" w:cs="仿宋"/>
                <w:szCs w:val="21"/>
              </w:rPr>
            </w:pPr>
            <w:r>
              <w:rPr>
                <w:rFonts w:hint="eastAsia" w:ascii="仿宋" w:hAnsi="仿宋" w:eastAsia="仿宋" w:cs="仿宋"/>
                <w:szCs w:val="21"/>
              </w:rPr>
              <w:t>为本项目配备的项目成员（不含负责人）能力和经验：</w:t>
            </w:r>
          </w:p>
          <w:p>
            <w:pPr>
              <w:numPr>
                <w:ilvl w:val="0"/>
                <w:numId w:val="1"/>
              </w:numPr>
              <w:ind w:left="34" w:hanging="34"/>
              <w:jc w:val="left"/>
              <w:rPr>
                <w:rFonts w:hint="eastAsia" w:ascii="仿宋" w:hAnsi="仿宋" w:eastAsia="仿宋" w:cs="仿宋"/>
                <w:szCs w:val="21"/>
              </w:rPr>
            </w:pPr>
            <w:r>
              <w:rPr>
                <w:rFonts w:hint="eastAsia" w:ascii="仿宋" w:hAnsi="仿宋" w:eastAsia="仿宋" w:cs="仿宋"/>
                <w:szCs w:val="21"/>
              </w:rPr>
              <w:t>团队成员具备硕士或以上学位审计或管理类专业</w:t>
            </w:r>
            <w:r>
              <w:rPr>
                <w:rFonts w:ascii="仿宋" w:hAnsi="仿宋" w:eastAsia="仿宋" w:cs="仿宋"/>
                <w:szCs w:val="21"/>
              </w:rPr>
              <w:t>2</w:t>
            </w:r>
            <w:r>
              <w:rPr>
                <w:rFonts w:hint="eastAsia" w:ascii="仿宋" w:hAnsi="仿宋" w:eastAsia="仿宋" w:cs="仿宋"/>
                <w:szCs w:val="21"/>
              </w:rPr>
              <w:t>人，得10分；团队成员具备硕士以上学位审计或管理类专业1人的，得5分；该项最高不超过10分。</w:t>
            </w:r>
          </w:p>
          <w:p>
            <w:pPr>
              <w:jc w:val="left"/>
              <w:rPr>
                <w:rFonts w:hint="eastAsia"/>
              </w:rPr>
            </w:pPr>
            <w:r>
              <w:rPr>
                <w:rFonts w:hint="eastAsia" w:ascii="仿宋" w:hAnsi="仿宋" w:eastAsia="仿宋" w:cs="仿宋"/>
                <w:szCs w:val="21"/>
              </w:rPr>
              <w:t>（2）团队成员具备高级会计师职称</w:t>
            </w:r>
            <w:r>
              <w:rPr>
                <w:rFonts w:ascii="仿宋" w:hAnsi="仿宋" w:eastAsia="仿宋" w:cs="仿宋"/>
                <w:szCs w:val="21"/>
              </w:rPr>
              <w:t>2</w:t>
            </w:r>
            <w:r>
              <w:rPr>
                <w:rFonts w:hint="eastAsia" w:ascii="仿宋" w:hAnsi="仿宋" w:eastAsia="仿宋" w:cs="仿宋"/>
                <w:szCs w:val="21"/>
              </w:rPr>
              <w:t>人，得10分；团队成员具备高级会计师职称1人的，得5分；该项最高不超过10分。</w:t>
            </w:r>
          </w:p>
          <w:p>
            <w:pPr>
              <w:jc w:val="left"/>
              <w:rPr>
                <w:rFonts w:hint="eastAsia" w:ascii="仿宋" w:hAnsi="仿宋" w:eastAsia="仿宋" w:cs="仿宋"/>
                <w:szCs w:val="21"/>
              </w:rPr>
            </w:pPr>
            <w:r>
              <w:rPr>
                <w:rFonts w:hint="eastAsia" w:ascii="仿宋" w:hAnsi="仿宋" w:eastAsia="仿宋" w:cs="仿宋"/>
                <w:szCs w:val="21"/>
              </w:rPr>
              <w:t>以上累加计分，满分为20分。</w:t>
            </w:r>
          </w:p>
          <w:p>
            <w:pPr>
              <w:widowControl/>
              <w:overflowPunct w:val="0"/>
              <w:snapToGrid w:val="0"/>
              <w:jc w:val="left"/>
              <w:rPr>
                <w:rFonts w:hint="eastAsia" w:ascii="仿宋" w:hAnsi="仿宋" w:eastAsia="仿宋" w:cs="仿宋"/>
                <w:bCs/>
                <w:color w:val="000000"/>
                <w:spacing w:val="10"/>
                <w:szCs w:val="21"/>
                <w:lang w:bidi="ar"/>
              </w:rPr>
            </w:pPr>
            <w:r>
              <w:rPr>
                <w:rFonts w:hint="eastAsia" w:ascii="仿宋" w:hAnsi="仿宋" w:eastAsia="仿宋" w:cs="仿宋"/>
                <w:bCs/>
                <w:color w:val="000000"/>
                <w:spacing w:val="10"/>
                <w:szCs w:val="21"/>
                <w:lang w:bidi="ar"/>
              </w:rPr>
              <w:t>（二）评审标准</w:t>
            </w:r>
          </w:p>
          <w:p>
            <w:pPr>
              <w:jc w:val="left"/>
              <w:rPr>
                <w:rFonts w:hint="eastAsia" w:ascii="仿宋" w:hAnsi="仿宋" w:eastAsia="仿宋" w:cs="仿宋"/>
                <w:color w:val="000000"/>
                <w:szCs w:val="21"/>
              </w:rPr>
            </w:pPr>
            <w:r>
              <w:rPr>
                <w:rFonts w:hint="eastAsia" w:ascii="仿宋" w:hAnsi="仿宋" w:eastAsia="仿宋" w:cs="仿宋"/>
                <w:color w:val="000000"/>
                <w:szCs w:val="21"/>
              </w:rPr>
              <w:t>1.要求提供团队成员通过投标人缴纳的近三个月的任意一个月的社保证明作为本单位员工的证明依据。若供应商成立不足三个月的，需提供成立情况说明函（格式自拟），无需提供相关人员社保，亦可得分；若为退休返聘人员，需提供退休证明和返聘协议，无需提供相关人员社保，亦可得分。</w:t>
            </w:r>
          </w:p>
          <w:p>
            <w:pPr>
              <w:jc w:val="left"/>
              <w:rPr>
                <w:rFonts w:hint="eastAsia" w:ascii="仿宋" w:hAnsi="仿宋" w:eastAsia="仿宋" w:cs="仿宋"/>
                <w:color w:val="000000"/>
                <w:szCs w:val="21"/>
              </w:rPr>
            </w:pPr>
            <w:r>
              <w:rPr>
                <w:rFonts w:hint="eastAsia" w:ascii="仿宋" w:hAnsi="仿宋" w:eastAsia="仿宋" w:cs="仿宋"/>
                <w:color w:val="000000"/>
                <w:szCs w:val="21"/>
              </w:rPr>
              <w:t xml:space="preserve">2.如涉及学历，要求提供学历（毕业）证书复印件以及学信网查询记录。对于较早颁发的学历（毕业）证书，学信网无法查询的，要求提供证书复印件和其他佐证材料（如毕业院校、人社部门等颁发机构或监管机构等单位出具的证明）作为得分依据。海外留学人员学历（含港澳台）无法通过学信网站查询，应当提供“教育部留学服务中心出具的国外学历认证证书以及教育部留学服务中心官网查询截图”。 </w:t>
            </w:r>
          </w:p>
          <w:p>
            <w:pPr>
              <w:jc w:val="left"/>
              <w:rPr>
                <w:rFonts w:hint="eastAsia" w:ascii="仿宋" w:hAnsi="仿宋" w:eastAsia="仿宋" w:cs="仿宋"/>
                <w:color w:val="000000"/>
                <w:szCs w:val="21"/>
              </w:rPr>
            </w:pPr>
            <w:r>
              <w:rPr>
                <w:rFonts w:hint="eastAsia" w:ascii="仿宋" w:hAnsi="仿宋" w:eastAsia="仿宋" w:cs="仿宋"/>
                <w:color w:val="000000"/>
                <w:szCs w:val="21"/>
              </w:rPr>
              <w:t>3.如涉及提供相应资质证书的，要求提供相关证书作为得分依据，并提供证书官网或官方机构网站的证书查询记录截图作为得分依据。证书在公开渠道无法查询的，需提供颁发机构的证明材料证明证书真实有效。评分中出现无证明资料或专家无法凭所提供资料判断是否得分的情况，一律按不得分处理。</w:t>
            </w:r>
          </w:p>
          <w:p>
            <w:pPr>
              <w:jc w:val="left"/>
              <w:rPr>
                <w:rFonts w:hint="eastAsia" w:ascii="仿宋" w:hAnsi="仿宋" w:eastAsia="仿宋" w:cs="仿宋"/>
                <w:szCs w:val="21"/>
              </w:rPr>
            </w:pPr>
            <w:r>
              <w:rPr>
                <w:rFonts w:hint="eastAsia" w:ascii="仿宋" w:hAnsi="仿宋" w:eastAsia="仿宋" w:cs="仿宋"/>
                <w:color w:val="000000"/>
                <w:szCs w:val="21"/>
              </w:rPr>
              <w:t>4.以上资料均要求提供复印件（或官方网站截图）加盖投标人公章，原件备查。评分中出现无证明资料或专家无法凭所提供资料判断是否得分的情况，一律作不得分处理。</w:t>
            </w:r>
          </w:p>
        </w:tc>
        <w:tc>
          <w:tcPr>
            <w:tcW w:w="1130" w:type="dxa"/>
            <w:noWrap w:val="0"/>
            <w:vAlign w:val="center"/>
          </w:tcPr>
          <w:p>
            <w:pPr>
              <w:adjustRightInd w:val="0"/>
              <w:snapToGrid w:val="0"/>
              <w:jc w:val="left"/>
              <w:rPr>
                <w:rFonts w:hint="eastAsia" w:ascii="仿宋" w:hAnsi="仿宋" w:eastAsia="仿宋" w:cs="仿宋"/>
                <w:szCs w:val="21"/>
              </w:rPr>
            </w:pPr>
            <w:r>
              <w:rPr>
                <w:rFonts w:hint="eastAsia" w:ascii="仿宋" w:hAnsi="仿宋" w:eastAsia="仿宋" w:cs="仿宋"/>
                <w:szCs w:val="21"/>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11" w:type="dxa"/>
            <w:noWrap w:val="0"/>
            <w:vAlign w:val="center"/>
          </w:tcPr>
          <w:p>
            <w:pPr>
              <w:jc w:val="left"/>
              <w:rPr>
                <w:rFonts w:hint="eastAsia" w:ascii="仿宋" w:hAnsi="仿宋" w:eastAsia="仿宋" w:cs="仿宋"/>
                <w:szCs w:val="21"/>
              </w:rPr>
            </w:pPr>
            <w:r>
              <w:rPr>
                <w:rFonts w:hint="eastAsia" w:ascii="仿宋" w:hAnsi="仿宋" w:eastAsia="仿宋" w:cs="仿宋"/>
                <w:szCs w:val="21"/>
              </w:rPr>
              <w:t>3</w:t>
            </w:r>
          </w:p>
        </w:tc>
        <w:tc>
          <w:tcPr>
            <w:tcW w:w="1704" w:type="dxa"/>
            <w:noWrap w:val="0"/>
            <w:vAlign w:val="center"/>
          </w:tcPr>
          <w:p>
            <w:pPr>
              <w:jc w:val="left"/>
              <w:rPr>
                <w:rFonts w:hint="eastAsia" w:ascii="仿宋" w:hAnsi="仿宋" w:eastAsia="仿宋" w:cs="仿宋"/>
                <w:szCs w:val="21"/>
              </w:rPr>
            </w:pPr>
            <w:r>
              <w:rPr>
                <w:rFonts w:hint="eastAsia" w:ascii="仿宋" w:hAnsi="仿宋" w:eastAsia="仿宋" w:cs="仿宋"/>
                <w:szCs w:val="21"/>
              </w:rPr>
              <w:t>团队负责人情况</w:t>
            </w:r>
          </w:p>
        </w:tc>
        <w:tc>
          <w:tcPr>
            <w:tcW w:w="717" w:type="dxa"/>
            <w:noWrap w:val="0"/>
            <w:vAlign w:val="center"/>
          </w:tcPr>
          <w:p>
            <w:pPr>
              <w:jc w:val="left"/>
              <w:rPr>
                <w:rFonts w:hint="eastAsia" w:ascii="仿宋" w:hAnsi="仿宋" w:eastAsia="仿宋" w:cs="仿宋"/>
                <w:szCs w:val="21"/>
              </w:rPr>
            </w:pPr>
            <w:r>
              <w:rPr>
                <w:rFonts w:hint="eastAsia" w:ascii="仿宋" w:hAnsi="仿宋" w:eastAsia="仿宋" w:cs="仿宋"/>
                <w:szCs w:val="21"/>
              </w:rPr>
              <w:t>15</w:t>
            </w:r>
          </w:p>
        </w:tc>
        <w:tc>
          <w:tcPr>
            <w:tcW w:w="5103" w:type="dxa"/>
            <w:noWrap w:val="0"/>
            <w:vAlign w:val="center"/>
          </w:tcPr>
          <w:p>
            <w:pPr>
              <w:jc w:val="left"/>
              <w:rPr>
                <w:rFonts w:hint="eastAsia" w:ascii="仿宋" w:hAnsi="仿宋" w:eastAsia="仿宋" w:cs="仿宋"/>
                <w:szCs w:val="21"/>
              </w:rPr>
            </w:pPr>
            <w:r>
              <w:rPr>
                <w:rFonts w:hint="eastAsia" w:ascii="仿宋" w:hAnsi="仿宋" w:eastAsia="仿宋" w:cs="仿宋"/>
                <w:szCs w:val="21"/>
              </w:rPr>
              <w:t>（一）评审内容</w:t>
            </w:r>
          </w:p>
          <w:p>
            <w:pPr>
              <w:jc w:val="left"/>
              <w:rPr>
                <w:rFonts w:hint="eastAsia" w:ascii="仿宋" w:hAnsi="仿宋" w:eastAsia="仿宋" w:cs="仿宋"/>
                <w:szCs w:val="21"/>
              </w:rPr>
            </w:pPr>
            <w:r>
              <w:rPr>
                <w:rFonts w:hint="eastAsia" w:ascii="仿宋" w:hAnsi="仿宋" w:eastAsia="仿宋" w:cs="仿宋"/>
                <w:szCs w:val="21"/>
              </w:rPr>
              <w:t>项目团队负责人（仅限一人）能力和经验：</w:t>
            </w:r>
          </w:p>
          <w:p>
            <w:pPr>
              <w:numPr>
                <w:ilvl w:val="0"/>
                <w:numId w:val="2"/>
              </w:numPr>
              <w:jc w:val="left"/>
              <w:rPr>
                <w:rFonts w:hint="eastAsia" w:ascii="仿宋" w:hAnsi="仿宋" w:eastAsia="仿宋" w:cs="仿宋"/>
                <w:szCs w:val="21"/>
              </w:rPr>
            </w:pPr>
            <w:r>
              <w:rPr>
                <w:rFonts w:hint="eastAsia" w:ascii="仿宋" w:hAnsi="仿宋" w:eastAsia="仿宋" w:cs="仿宋"/>
                <w:szCs w:val="21"/>
              </w:rPr>
              <w:t>研究生及以上学历审计或管理类专业，得5分；</w:t>
            </w:r>
          </w:p>
          <w:p>
            <w:pPr>
              <w:jc w:val="left"/>
              <w:rPr>
                <w:rFonts w:hint="eastAsia" w:ascii="仿宋" w:hAnsi="仿宋" w:eastAsia="仿宋" w:cs="仿宋"/>
                <w:szCs w:val="21"/>
              </w:rPr>
            </w:pPr>
            <w:r>
              <w:rPr>
                <w:rFonts w:hint="eastAsia" w:ascii="仿宋" w:hAnsi="仿宋" w:eastAsia="仿宋" w:cs="仿宋"/>
                <w:szCs w:val="21"/>
              </w:rPr>
              <w:t>（2）具备高级会计师资格的，得5分；</w:t>
            </w:r>
          </w:p>
          <w:p>
            <w:pPr>
              <w:jc w:val="left"/>
              <w:rPr>
                <w:rFonts w:hint="eastAsia" w:ascii="仿宋" w:hAnsi="仿宋" w:eastAsia="仿宋" w:cs="仿宋"/>
                <w:szCs w:val="21"/>
              </w:rPr>
            </w:pPr>
            <w:r>
              <w:rPr>
                <w:rFonts w:hint="eastAsia" w:ascii="仿宋" w:hAnsi="仿宋" w:eastAsia="仿宋" w:cs="仿宋"/>
                <w:szCs w:val="21"/>
              </w:rPr>
              <w:t>（3）作为1项审计项目的负责人，得1分；本项最高得5分。</w:t>
            </w:r>
          </w:p>
          <w:p>
            <w:pPr>
              <w:widowControl/>
              <w:overflowPunct w:val="0"/>
              <w:snapToGrid w:val="0"/>
              <w:jc w:val="left"/>
              <w:rPr>
                <w:rFonts w:hint="eastAsia" w:ascii="仿宋" w:hAnsi="仿宋" w:eastAsia="仿宋" w:cs="仿宋"/>
                <w:bCs/>
                <w:spacing w:val="10"/>
                <w:szCs w:val="21"/>
                <w:lang w:bidi="ar"/>
              </w:rPr>
            </w:pPr>
            <w:r>
              <w:rPr>
                <w:rFonts w:hint="eastAsia" w:ascii="仿宋" w:hAnsi="仿宋" w:eastAsia="仿宋" w:cs="仿宋"/>
                <w:bCs/>
                <w:spacing w:val="10"/>
                <w:szCs w:val="21"/>
                <w:lang w:bidi="ar"/>
              </w:rPr>
              <w:t>（二）评审标准</w:t>
            </w:r>
          </w:p>
          <w:p>
            <w:pPr>
              <w:jc w:val="left"/>
              <w:rPr>
                <w:rFonts w:hint="eastAsia" w:ascii="仿宋" w:hAnsi="仿宋" w:eastAsia="仿宋" w:cs="仿宋"/>
                <w:szCs w:val="21"/>
              </w:rPr>
            </w:pPr>
            <w:r>
              <w:rPr>
                <w:rFonts w:hint="eastAsia" w:ascii="仿宋" w:hAnsi="仿宋" w:eastAsia="仿宋" w:cs="仿宋"/>
                <w:szCs w:val="21"/>
              </w:rPr>
              <w:t>1.要求投标人须出具投标截止日前一个月的社保购买证明（由于社保部门原因，最近一个月的社保证明无法提供的，可往前顺延一个月；如供应商为新成立企业且成立时间不足一个月可提供加盖公章的情况说明或者证明材料亦视为符合；如依法不需要缴纳社会保险的，应提供相应文件证明），若为退休返聘人员，则无需提供社保购买证明及劳动合同，需提供退休证明和返聘协议作为证明材料。</w:t>
            </w:r>
          </w:p>
          <w:p>
            <w:pPr>
              <w:jc w:val="left"/>
              <w:rPr>
                <w:rFonts w:hint="eastAsia" w:ascii="仿宋" w:hAnsi="仿宋" w:eastAsia="仿宋" w:cs="仿宋"/>
                <w:szCs w:val="21"/>
              </w:rPr>
            </w:pPr>
            <w:r>
              <w:rPr>
                <w:rFonts w:hint="eastAsia" w:ascii="仿宋" w:hAnsi="仿宋" w:eastAsia="仿宋" w:cs="仿宋"/>
                <w:szCs w:val="21"/>
              </w:rPr>
              <w:t>2.如涉及学历，要求提供学历（毕业）证书复印件以及学信网查询记录。对于较早颁发的学历（毕业）证书，学信网无法查询的，要求提供证书复印件和其他佐证材料（如毕业院校、人社部门等颁发机构或监管机构等单位出具的证明）作为得分依据。海外留学人员学历（含港澳台）无法通过学信网站查询，应当提供“教育部留学服务中心出具的国外学历认证证书以及教育部留学服务中心官网查询截图”。</w:t>
            </w:r>
          </w:p>
          <w:p>
            <w:pPr>
              <w:jc w:val="left"/>
              <w:rPr>
                <w:rFonts w:hint="eastAsia" w:ascii="仿宋" w:hAnsi="仿宋" w:eastAsia="仿宋" w:cs="仿宋"/>
                <w:szCs w:val="21"/>
              </w:rPr>
            </w:pPr>
            <w:r>
              <w:rPr>
                <w:rFonts w:hint="eastAsia" w:ascii="仿宋" w:hAnsi="仿宋" w:eastAsia="仿宋" w:cs="仿宋"/>
                <w:szCs w:val="21"/>
              </w:rPr>
              <w:t>3.如涉及提供相应资质证书的，要求提供相关证书作为得分依据，并提供证书官网或官方机构网站的证书查询记录截图作为得分依据。证书在公开渠道无法查询的，需提供颁发机构的证明材料证明证书真实有效。评分中出现无证明资料或专家无法凭所提供资料判断是否得分的情况，一律按不得分处理。</w:t>
            </w:r>
          </w:p>
          <w:p>
            <w:pPr>
              <w:jc w:val="left"/>
              <w:rPr>
                <w:rFonts w:hint="eastAsia" w:ascii="仿宋" w:hAnsi="仿宋" w:eastAsia="仿宋" w:cs="仿宋"/>
                <w:szCs w:val="21"/>
              </w:rPr>
            </w:pPr>
            <w:r>
              <w:rPr>
                <w:rFonts w:hint="eastAsia" w:ascii="仿宋" w:hAnsi="仿宋" w:eastAsia="仿宋" w:cs="仿宋"/>
                <w:szCs w:val="21"/>
              </w:rPr>
              <w:t>4.涉及考察人员工作经验，要求提供项目合同关键信息（含签订合同双方的名称、合同项目名称、签订合同双方的落款盖章或签名、签订日期的关键页），如合同未载明项目人员相关信息的，还需提供其他工作经验证明材料作为得分依据。</w:t>
            </w:r>
          </w:p>
          <w:p>
            <w:pPr>
              <w:jc w:val="left"/>
              <w:rPr>
                <w:rFonts w:hint="eastAsia" w:ascii="仿宋" w:hAnsi="仿宋" w:eastAsia="仿宋" w:cs="仿宋"/>
                <w:szCs w:val="21"/>
              </w:rPr>
            </w:pPr>
            <w:r>
              <w:rPr>
                <w:rFonts w:hint="eastAsia" w:ascii="仿宋" w:hAnsi="仿宋" w:eastAsia="仿宋" w:cs="仿宋"/>
                <w:szCs w:val="21"/>
              </w:rPr>
              <w:t>5.以上资料均要求提供复印件（或官方网站截图）加盖投标人公章，原件备查。评分中出现无证明资料或专家无法凭所提供资料判断是否得分的情况，一律作不得分处理。</w:t>
            </w:r>
          </w:p>
        </w:tc>
        <w:tc>
          <w:tcPr>
            <w:tcW w:w="1130" w:type="dxa"/>
            <w:noWrap w:val="0"/>
            <w:vAlign w:val="center"/>
          </w:tcPr>
          <w:p>
            <w:pPr>
              <w:adjustRightInd w:val="0"/>
              <w:snapToGrid w:val="0"/>
              <w:jc w:val="left"/>
              <w:rPr>
                <w:rFonts w:hint="eastAsia" w:ascii="仿宋" w:hAnsi="仿宋" w:eastAsia="仿宋" w:cs="仿宋"/>
                <w:szCs w:val="21"/>
              </w:rPr>
            </w:pPr>
            <w:r>
              <w:rPr>
                <w:rFonts w:hint="eastAsia" w:ascii="仿宋" w:hAnsi="仿宋" w:eastAsia="仿宋" w:cs="仿宋"/>
                <w:szCs w:val="21"/>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11" w:type="dxa"/>
            <w:noWrap w:val="0"/>
            <w:vAlign w:val="center"/>
          </w:tcPr>
          <w:p>
            <w:pPr>
              <w:jc w:val="left"/>
              <w:rPr>
                <w:rFonts w:hint="eastAsia" w:ascii="仿宋" w:hAnsi="仿宋" w:eastAsia="仿宋" w:cs="仿宋"/>
                <w:szCs w:val="21"/>
              </w:rPr>
            </w:pPr>
            <w:r>
              <w:rPr>
                <w:rFonts w:hint="eastAsia" w:ascii="仿宋" w:hAnsi="仿宋" w:eastAsia="仿宋" w:cs="仿宋"/>
                <w:szCs w:val="21"/>
              </w:rPr>
              <w:t>4</w:t>
            </w:r>
          </w:p>
        </w:tc>
        <w:tc>
          <w:tcPr>
            <w:tcW w:w="1704" w:type="dxa"/>
            <w:noWrap w:val="0"/>
            <w:vAlign w:val="center"/>
          </w:tcPr>
          <w:p>
            <w:pPr>
              <w:jc w:val="left"/>
              <w:rPr>
                <w:rFonts w:hint="eastAsia" w:ascii="仿宋" w:hAnsi="仿宋" w:eastAsia="仿宋" w:cs="仿宋"/>
                <w:szCs w:val="21"/>
              </w:rPr>
            </w:pPr>
            <w:r>
              <w:rPr>
                <w:rFonts w:hint="eastAsia" w:ascii="仿宋" w:hAnsi="仿宋" w:eastAsia="仿宋" w:cs="仿宋"/>
                <w:szCs w:val="21"/>
              </w:rPr>
              <w:t>诚信评价</w:t>
            </w:r>
          </w:p>
        </w:tc>
        <w:tc>
          <w:tcPr>
            <w:tcW w:w="717" w:type="dxa"/>
            <w:noWrap w:val="0"/>
            <w:vAlign w:val="center"/>
          </w:tcPr>
          <w:p>
            <w:pPr>
              <w:jc w:val="left"/>
              <w:rPr>
                <w:rFonts w:hint="eastAsia" w:ascii="仿宋" w:hAnsi="仿宋" w:eastAsia="仿宋" w:cs="仿宋"/>
                <w:bCs/>
                <w:kern w:val="44"/>
                <w:szCs w:val="21"/>
              </w:rPr>
            </w:pPr>
            <w:r>
              <w:rPr>
                <w:rFonts w:hint="eastAsia" w:ascii="仿宋" w:hAnsi="仿宋" w:eastAsia="仿宋" w:cs="仿宋"/>
                <w:bCs/>
                <w:kern w:val="44"/>
                <w:szCs w:val="21"/>
              </w:rPr>
              <w:t>5</w:t>
            </w:r>
          </w:p>
        </w:tc>
        <w:tc>
          <w:tcPr>
            <w:tcW w:w="5103" w:type="dxa"/>
            <w:noWrap w:val="0"/>
            <w:vAlign w:val="center"/>
          </w:tcPr>
          <w:p>
            <w:pPr>
              <w:jc w:val="left"/>
              <w:rPr>
                <w:rFonts w:hint="eastAsia" w:ascii="仿宋" w:hAnsi="仿宋" w:eastAsia="仿宋" w:cs="仿宋"/>
                <w:szCs w:val="21"/>
              </w:rPr>
            </w:pPr>
            <w:r>
              <w:rPr>
                <w:rFonts w:hint="eastAsia" w:ascii="仿宋" w:hAnsi="仿宋" w:eastAsia="仿宋" w:cs="仿宋"/>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pPr>
              <w:jc w:val="left"/>
              <w:rPr>
                <w:rFonts w:hint="eastAsia" w:ascii="仿宋" w:hAnsi="仿宋" w:eastAsia="仿宋" w:cs="仿宋"/>
                <w:szCs w:val="21"/>
              </w:rPr>
            </w:pPr>
            <w:r>
              <w:rPr>
                <w:rFonts w:hint="eastAsia" w:ascii="仿宋" w:hAnsi="仿宋" w:eastAsia="仿宋" w:cs="仿宋"/>
                <w:szCs w:val="21"/>
              </w:rPr>
              <w:t>（采购人通过“信用中国”、“中国政府采购网”、“深圳市政府采购监管网”以及市、区财政部门认定的其他渠道查询供应商信用信息，投标人无需提供证明材料。）</w:t>
            </w:r>
          </w:p>
        </w:tc>
        <w:tc>
          <w:tcPr>
            <w:tcW w:w="1130" w:type="dxa"/>
            <w:noWrap w:val="0"/>
            <w:vAlign w:val="center"/>
          </w:tcPr>
          <w:p>
            <w:pPr>
              <w:adjustRightInd w:val="0"/>
              <w:snapToGrid w:val="0"/>
              <w:jc w:val="left"/>
              <w:rPr>
                <w:rFonts w:hint="eastAsia" w:ascii="仿宋" w:hAnsi="仿宋" w:eastAsia="仿宋" w:cs="仿宋"/>
                <w:szCs w:val="21"/>
              </w:rPr>
            </w:pPr>
          </w:p>
        </w:tc>
      </w:tr>
    </w:tbl>
    <w:p>
      <w:pPr>
        <w:pStyle w:val="5"/>
        <w:rPr>
          <w:rFonts w:hint="eastAsia"/>
        </w:rPr>
      </w:pPr>
    </w:p>
    <w:p>
      <w:pPr>
        <w:numPr>
          <w:ilvl w:val="0"/>
          <w:numId w:val="0"/>
        </w:numPr>
        <w:spacing w:line="360" w:lineRule="auto"/>
        <w:rPr>
          <w:rFonts w:hint="default" w:ascii="仿宋_GB2312" w:eastAsia="仿宋_GB2312"/>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Unicode MS">
    <w:altName w:val="DejaVu Sans"/>
    <w:panose1 w:val="020B0604020202020204"/>
    <w:charset w:val="00"/>
    <w:family w:val="swiss"/>
    <w:pitch w:val="default"/>
    <w:sig w:usb0="00000000" w:usb1="00000000" w:usb2="0000003F" w:usb3="00000000" w:csb0="003F01FF"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559FA"/>
    <w:multiLevelType w:val="multilevel"/>
    <w:tmpl w:val="1AB559F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6F4565"/>
    <w:multiLevelType w:val="multilevel"/>
    <w:tmpl w:val="2D6F456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BFAF2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line="480" w:lineRule="auto"/>
    </w:pPr>
  </w:style>
  <w:style w:type="paragraph" w:styleId="4">
    <w:name w:val="Body Text Indent"/>
    <w:basedOn w:val="1"/>
    <w:unhideWhenUsed/>
    <w:qFormat/>
    <w:uiPriority w:val="99"/>
    <w:pPr>
      <w:spacing w:after="120"/>
      <w:ind w:left="420" w:leftChars="200"/>
    </w:pPr>
  </w:style>
  <w:style w:type="paragraph" w:styleId="5">
    <w:name w:val="Body Text First Indent 2"/>
    <w:basedOn w:val="4"/>
    <w:qFormat/>
    <w:uiPriority w:val="0"/>
    <w:pPr>
      <w:spacing w:after="0"/>
      <w:ind w:left="0" w:leftChars="0" w:firstLine="420" w:firstLineChars="200"/>
    </w:pPr>
    <w:rPr>
      <w:rFonts w:eastAsia="仿宋_GB2312"/>
      <w:sz w:val="32"/>
    </w:rPr>
  </w:style>
  <w:style w:type="paragraph" w:customStyle="1" w:styleId="8">
    <w:name w:val="正文 A"/>
    <w:qFormat/>
    <w:uiPriority w:val="0"/>
    <w:pPr>
      <w:widowControl w:val="0"/>
      <w:jc w:val="both"/>
    </w:pPr>
    <w:rPr>
      <w:rFonts w:ascii="Arial Unicode MS" w:hAnsi="Arial Unicode MS" w:eastAsia="Times New Roman" w:cs="Arial Unicode MS"/>
      <w:color w:val="000000"/>
      <w:sz w:val="21"/>
      <w:szCs w:val="21"/>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马恒珠</cp:lastModifiedBy>
  <dcterms:modified xsi:type="dcterms:W3CDTF">2026-06-12T16:46:44Z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