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ind w:firstLine="0" w:firstLineChars="0"/>
        <w:rPr>
          <w:rFonts w:hint="eastAsia" w:ascii="黑体" w:hAnsi="黑体" w:eastAsia="黑体" w:cs="黑体"/>
          <w:sz w:val="32"/>
          <w:szCs w:val="32"/>
          <w:highlight w:val="none"/>
          <w:lang w:bidi="ar"/>
        </w:rPr>
      </w:pPr>
      <w:bookmarkStart w:id="0" w:name="_GoBack"/>
      <w:r>
        <w:rPr>
          <w:rFonts w:hint="eastAsia" w:ascii="黑体" w:hAnsi="黑体" w:eastAsia="黑体" w:cs="黑体"/>
          <w:kern w:val="0"/>
          <w:sz w:val="32"/>
          <w:szCs w:val="32"/>
          <w:highlight w:val="none"/>
          <w:lang w:bidi="ar-SA"/>
        </w:rPr>
        <w:t>附件2</w:t>
      </w:r>
    </w:p>
    <w:p>
      <w:pPr>
        <w:pStyle w:val="4"/>
        <w:spacing w:line="580" w:lineRule="exact"/>
        <w:ind w:firstLine="0" w:firstLineChars="0"/>
        <w:jc w:val="center"/>
        <w:rPr>
          <w:rFonts w:hint="eastAsia" w:ascii="方正小标宋简体" w:hAnsi="Calibri" w:eastAsia="方正小标宋简体" w:cs="Times New Roman"/>
          <w:sz w:val="44"/>
          <w:szCs w:val="44"/>
          <w:highlight w:val="none"/>
          <w:lang w:bidi="ar-SA"/>
        </w:rPr>
      </w:pPr>
      <w:r>
        <w:rPr>
          <w:rFonts w:hint="eastAsia" w:ascii="方正小标宋简体" w:hAnsi="Calibri" w:eastAsia="方正小标宋简体" w:cs="Times New Roman"/>
          <w:spacing w:val="0"/>
          <w:sz w:val="44"/>
          <w:szCs w:val="44"/>
          <w:highlight w:val="none"/>
        </w:rPr>
        <w:t>评分细则（综合评分法）</w:t>
      </w:r>
    </w:p>
    <w:bookmarkEnd w:id="0"/>
    <w:tbl>
      <w:tblPr>
        <w:tblStyle w:val="5"/>
        <w:tblW w:w="0" w:type="auto"/>
        <w:jc w:val="center"/>
        <w:tblCellSpacing w:w="0" w:type="dxa"/>
        <w:tblLayout w:type="autofit"/>
        <w:tblCellMar>
          <w:top w:w="45" w:type="dxa"/>
          <w:left w:w="45" w:type="dxa"/>
          <w:bottom w:w="45" w:type="dxa"/>
          <w:right w:w="45" w:type="dxa"/>
        </w:tblCellMar>
      </w:tblPr>
      <w:tblGrid>
        <w:gridCol w:w="8191"/>
        <w:gridCol w:w="205"/>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评</w:t>
            </w:r>
            <w:r>
              <w:rPr>
                <w:rFonts w:hint="eastAsia" w:ascii="宋体" w:hAnsi="宋体" w:cs="宋体"/>
                <w:b/>
                <w:bCs/>
                <w:color w:val="000000"/>
                <w:sz w:val="21"/>
                <w:szCs w:val="21"/>
                <w:highlight w:val="none"/>
              </w:rPr>
              <w:t>标方法：最低价法/综合评分法（新价格分算法）</w:t>
            </w:r>
          </w:p>
        </w:tc>
        <w:tc>
          <w:tcPr>
            <w:tcW w:w="0" w:type="auto"/>
            <w:tcBorders>
              <w:top w:val="nil"/>
              <w:left w:val="nil"/>
              <w:bottom w:val="nil"/>
              <w:right w:val="nil"/>
            </w:tcBorders>
            <w:vAlign w:val="center"/>
          </w:tcPr>
          <w:p>
            <w:pPr>
              <w:adjustRightInd w:val="0"/>
              <w:snapToGrid w:val="0"/>
              <w:spacing w:line="360" w:lineRule="auto"/>
              <w:rPr>
                <w:rFonts w:ascii="宋体" w:hAnsi="宋体" w:cs="宋体"/>
                <w:color w:val="000000"/>
                <w:sz w:val="21"/>
                <w:szCs w:val="21"/>
                <w:highlight w:val="none"/>
              </w:rPr>
            </w:pP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vAlign w:val="center"/>
          </w:tcPr>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综合评分法，是指投标文件满足招标文件全部实质性要求，且按照评审因素的量化指标评审得分最高的投标人为中标候选人的评标方法。 </w:t>
            </w:r>
          </w:p>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价格分计算方法：采用低价优先法计算，即满足招标文件要求且投标价格最低的投标报价为评标基准价，其价格分为满分。其他投标人的价格分统一按照下列公式计算： 投标报价得分=(评标基准价／投标报价)×100 </w:t>
            </w:r>
          </w:p>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评标总得分＝F1×A1＋F2×A2＋……＋Fn×An </w:t>
            </w:r>
          </w:p>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F1、F2……Fn分别为各项评审因素的得分； </w:t>
            </w:r>
          </w:p>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A1、A2、……An 分别为各项评审因素所占的权重(A1＋A2＋……＋An＝1)。 </w:t>
            </w:r>
          </w:p>
          <w:p>
            <w:pPr>
              <w:adjustRightInd w:val="0"/>
              <w:snapToGrid w:val="0"/>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评标过程中，不得去掉报价中的最高报价和最低报价。 此方法适用于货物类、服务类、工程类项目。</w:t>
            </w: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vAlign w:val="center"/>
          </w:tcPr>
          <w:tbl>
            <w:tblPr>
              <w:tblStyle w:val="5"/>
              <w:tblW w:w="0" w:type="auto"/>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67"/>
              <w:gridCol w:w="1021"/>
              <w:gridCol w:w="5819"/>
              <w:gridCol w:w="538"/>
              <w:gridCol w:w="4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评审部分</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评审因素</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评分细则</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权重</w:t>
                  </w:r>
                </w:p>
              </w:tc>
              <w:tc>
                <w:tcPr>
                  <w:tcW w:w="0" w:type="auto"/>
                  <w:tcBorders>
                    <w:lef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cs="宋体"/>
                      <w:b/>
                      <w:bCs/>
                      <w:color w:val="000000"/>
                      <w:sz w:val="21"/>
                      <w:szCs w:val="21"/>
                      <w:highlight w:val="none"/>
                      <w:lang w:eastAsia="zh-CN"/>
                    </w:rPr>
                  </w:pPr>
                  <w:r>
                    <w:rPr>
                      <w:rFonts w:hint="default" w:ascii="宋体" w:hAnsi="宋体" w:cs="宋体"/>
                      <w:b/>
                      <w:bCs/>
                      <w:color w:val="auto"/>
                      <w:sz w:val="21"/>
                      <w:szCs w:val="21"/>
                      <w:highlight w:val="none"/>
                      <w:lang w:eastAsia="zh-CN"/>
                    </w:rPr>
                    <w:t>分数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3" w:hRule="atLeast"/>
              </w:trPr>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一</w:t>
                  </w:r>
                </w:p>
              </w:tc>
              <w:tc>
                <w:tcPr>
                  <w:tcW w:w="0" w:type="auto"/>
                  <w:gridSpan w:val="4"/>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价格部分（</w:t>
                  </w:r>
                  <w:r>
                    <w:rPr>
                      <w:rFonts w:hint="default" w:ascii="宋体" w:hAnsi="宋体" w:cs="宋体"/>
                      <w:b/>
                      <w:bCs/>
                      <w:color w:val="000000"/>
                      <w:sz w:val="21"/>
                      <w:szCs w:val="21"/>
                      <w:highlight w:val="none"/>
                      <w:lang w:eastAsia="zh-CN"/>
                    </w:rPr>
                    <w:t>2</w:t>
                  </w:r>
                  <w:r>
                    <w:rPr>
                      <w:rFonts w:hint="eastAsia" w:ascii="宋体" w:hAnsi="宋体" w:cs="宋体"/>
                      <w:b/>
                      <w:bCs/>
                      <w:color w:val="000000"/>
                      <w:sz w:val="21"/>
                      <w:szCs w:val="21"/>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投标报价</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投标报价得分=(评标基准价／投标报价)×100×权重</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备注：投标报价得分四舍五入后，小数点后保留两位有效数。</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highlight w:val="none"/>
                      <w:lang w:val="en-US" w:eastAsia="zh-CN"/>
                    </w:rPr>
                  </w:pPr>
                  <w:r>
                    <w:rPr>
                      <w:rFonts w:hint="default" w:ascii="宋体" w:hAnsi="宋体" w:cs="宋体"/>
                      <w:color w:val="000000"/>
                      <w:sz w:val="21"/>
                      <w:szCs w:val="21"/>
                      <w:highlight w:val="none"/>
                      <w:lang w:eastAsia="zh-CN"/>
                    </w:rPr>
                    <w:t>2</w:t>
                  </w:r>
                  <w:r>
                    <w:rPr>
                      <w:rFonts w:hint="eastAsia" w:ascii="宋体" w:hAnsi="宋体" w:cs="宋体"/>
                      <w:color w:val="000000"/>
                      <w:sz w:val="21"/>
                      <w:szCs w:val="21"/>
                      <w:highlight w:val="none"/>
                      <w:lang w:val="en-US" w:eastAsia="zh-CN"/>
                    </w:rPr>
                    <w:t>0</w:t>
                  </w:r>
                </w:p>
              </w:tc>
              <w:tc>
                <w:tcPr>
                  <w:tcW w:w="0" w:type="auto"/>
                  <w:tcBorders>
                    <w:lef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二</w:t>
                  </w:r>
                </w:p>
              </w:tc>
              <w:tc>
                <w:tcPr>
                  <w:tcW w:w="0" w:type="auto"/>
                  <w:gridSpan w:val="4"/>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color w:val="00000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项目维护方案</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投标人须针对本项目需求提供维护方案，包括下述内容：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1.运维计划；</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2.运维内容；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3.运维团队；</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满足以上3项要求得</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分，满足以上2项要求得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分，满足以上1项要求得</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分，其他不得分。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在此基础上，根据供应商的具体响应内容按照量化的评审因素指标进一步评审：</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1.总体服务方案全面完整；</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2.对本项目服务内容和要求理解到位，方案内容合理，表达清晰；</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3.有具体的人员安排及明确的分工，明确指出项目组织管理，指出人员和项目管理制度、组织架构、人员配置、职责分工。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满足以上三点评价为优得</w:t>
                  </w:r>
                  <w:r>
                    <w:rPr>
                      <w:rFonts w:ascii="宋体" w:hAnsi="宋体" w:cs="宋体"/>
                      <w:color w:val="000000"/>
                      <w:sz w:val="21"/>
                      <w:szCs w:val="21"/>
                      <w:highlight w:val="none"/>
                    </w:rPr>
                    <w:t>3</w:t>
                  </w:r>
                  <w:r>
                    <w:rPr>
                      <w:rFonts w:hint="eastAsia" w:ascii="宋体" w:hAnsi="宋体" w:cs="宋体"/>
                      <w:color w:val="000000"/>
                      <w:sz w:val="21"/>
                      <w:szCs w:val="21"/>
                      <w:highlight w:val="none"/>
                    </w:rPr>
                    <w:t>分；满足以上任意两点评价为良得</w:t>
                  </w:r>
                  <w:r>
                    <w:rPr>
                      <w:rFonts w:ascii="宋体" w:hAnsi="宋体" w:cs="宋体"/>
                      <w:color w:val="000000"/>
                      <w:sz w:val="21"/>
                      <w:szCs w:val="21"/>
                      <w:highlight w:val="none"/>
                    </w:rPr>
                    <w:t>2</w:t>
                  </w:r>
                  <w:r>
                    <w:rPr>
                      <w:rFonts w:hint="eastAsia" w:ascii="宋体" w:hAnsi="宋体" w:cs="宋体"/>
                      <w:color w:val="000000"/>
                      <w:sz w:val="21"/>
                      <w:szCs w:val="21"/>
                      <w:highlight w:val="none"/>
                    </w:rPr>
                    <w:t>分；满足以上任意一点评价为中得</w:t>
                  </w:r>
                  <w:r>
                    <w:rPr>
                      <w:rFonts w:ascii="宋体" w:hAnsi="宋体" w:cs="宋体"/>
                      <w:color w:val="000000"/>
                      <w:sz w:val="21"/>
                      <w:szCs w:val="21"/>
                      <w:highlight w:val="none"/>
                    </w:rPr>
                    <w:t>1</w:t>
                  </w:r>
                  <w:r>
                    <w:rPr>
                      <w:rFonts w:hint="eastAsia" w:ascii="宋体" w:hAnsi="宋体" w:cs="宋体"/>
                      <w:color w:val="000000"/>
                      <w:sz w:val="21"/>
                      <w:szCs w:val="21"/>
                      <w:highlight w:val="none"/>
                    </w:rPr>
                    <w:t>分；评价为差不得分。</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highlight w:val="none"/>
                      <w:lang w:eastAsia="zh-CN"/>
                    </w:rPr>
                  </w:pPr>
                  <w:r>
                    <w:rPr>
                      <w:rFonts w:hint="eastAsia" w:ascii="宋体" w:hAnsi="宋体" w:cs="宋体"/>
                      <w:color w:val="000000"/>
                      <w:sz w:val="21"/>
                      <w:szCs w:val="21"/>
                      <w:highlight w:val="none"/>
                    </w:rPr>
                    <w:t>1</w:t>
                  </w:r>
                  <w:r>
                    <w:rPr>
                      <w:rFonts w:hint="default" w:ascii="宋体" w:hAnsi="宋体" w:cs="宋体"/>
                      <w:color w:val="000000"/>
                      <w:sz w:val="21"/>
                      <w:szCs w:val="21"/>
                      <w:highlight w:val="none"/>
                      <w:lang w:eastAsia="zh-CN"/>
                    </w:rPr>
                    <w:t>2</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质量（完成时间、安全）保障措施及方案</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（一）评审内容：考察针对本项目提供以下3点内容：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投标人的方案包括但不限于：</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1、质量保障组织架构及角色分工；</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对本项目</w:t>
                  </w:r>
                  <w:r>
                    <w:rPr>
                      <w:rFonts w:hint="eastAsia" w:ascii="宋体" w:hAnsi="宋体" w:cs="宋体"/>
                      <w:color w:val="000000"/>
                      <w:sz w:val="21"/>
                      <w:szCs w:val="21"/>
                      <w:highlight w:val="none"/>
                    </w:rPr>
                    <w:t>运维</w:t>
                  </w:r>
                  <w:r>
                    <w:rPr>
                      <w:rFonts w:hint="eastAsia" w:ascii="宋体" w:hAnsi="宋体" w:cs="宋体"/>
                      <w:color w:val="000000"/>
                      <w:sz w:val="21"/>
                      <w:szCs w:val="21"/>
                      <w:highlight w:val="none"/>
                      <w:lang w:val="en-US" w:eastAsia="zh-CN"/>
                    </w:rPr>
                    <w:t>需求</w:t>
                  </w:r>
                  <w:r>
                    <w:rPr>
                      <w:rFonts w:hint="eastAsia" w:ascii="宋体" w:hAnsi="宋体" w:cs="宋体"/>
                      <w:color w:val="000000"/>
                      <w:sz w:val="21"/>
                      <w:szCs w:val="21"/>
                      <w:highlight w:val="none"/>
                    </w:rPr>
                    <w:t>的保障响应措施；</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3、运维故障的响应。</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（二）评分依据：</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满足以上任意一点得</w:t>
                  </w:r>
                  <w:r>
                    <w:rPr>
                      <w:rFonts w:ascii="宋体" w:hAnsi="宋体" w:cs="宋体"/>
                      <w:color w:val="000000"/>
                      <w:sz w:val="21"/>
                      <w:szCs w:val="21"/>
                      <w:highlight w:val="none"/>
                    </w:rPr>
                    <w:t>3</w:t>
                  </w:r>
                  <w:r>
                    <w:rPr>
                      <w:rFonts w:hint="eastAsia" w:ascii="宋体" w:hAnsi="宋体" w:cs="宋体"/>
                      <w:color w:val="000000"/>
                      <w:sz w:val="21"/>
                      <w:szCs w:val="21"/>
                      <w:highlight w:val="none"/>
                    </w:rPr>
                    <w:t>分，最高得</w:t>
                  </w:r>
                  <w:r>
                    <w:rPr>
                      <w:rFonts w:ascii="宋体" w:hAnsi="宋体" w:cs="宋体"/>
                      <w:color w:val="000000"/>
                      <w:sz w:val="21"/>
                      <w:szCs w:val="21"/>
                      <w:highlight w:val="none"/>
                    </w:rPr>
                    <w:t>9</w:t>
                  </w:r>
                  <w:r>
                    <w:rPr>
                      <w:rFonts w:hint="eastAsia" w:ascii="宋体" w:hAnsi="宋体" w:cs="宋体"/>
                      <w:color w:val="000000"/>
                      <w:sz w:val="21"/>
                      <w:szCs w:val="21"/>
                      <w:highlight w:val="none"/>
                    </w:rPr>
                    <w:t>分，未满足不得分。在此基础上，专家根据各供应商的具体响应内容按照以下的评审因素指标进一步评审：</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1、组织管理（需要包含人员管理制度说明、项目管理机制说明）；</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2、风险防控（需要对可能出现的风险情况进行预测并罗列，且对应说明切实可行的防控措施）；</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3、进度控制（需要分别对人员、时间等内容进行详细描述）；</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4、保密措施制度详细说明。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满足以上四项加</w:t>
                  </w:r>
                  <w:r>
                    <w:rPr>
                      <w:rFonts w:ascii="宋体" w:hAnsi="宋体" w:cs="宋体"/>
                      <w:color w:val="000000"/>
                      <w:sz w:val="21"/>
                      <w:szCs w:val="21"/>
                      <w:highlight w:val="none"/>
                    </w:rPr>
                    <w:t>4</w:t>
                  </w:r>
                  <w:r>
                    <w:rPr>
                      <w:rFonts w:hint="eastAsia" w:ascii="宋体" w:hAnsi="宋体" w:cs="宋体"/>
                      <w:color w:val="000000"/>
                      <w:sz w:val="21"/>
                      <w:szCs w:val="21"/>
                      <w:highlight w:val="none"/>
                    </w:rPr>
                    <w:t>分，满足以上三项加</w:t>
                  </w:r>
                  <w:r>
                    <w:rPr>
                      <w:rFonts w:ascii="宋体" w:hAnsi="宋体" w:cs="宋体"/>
                      <w:color w:val="000000"/>
                      <w:sz w:val="21"/>
                      <w:szCs w:val="21"/>
                      <w:highlight w:val="none"/>
                    </w:rPr>
                    <w:t>3</w:t>
                  </w:r>
                  <w:r>
                    <w:rPr>
                      <w:rFonts w:hint="eastAsia" w:ascii="宋体" w:hAnsi="宋体" w:cs="宋体"/>
                      <w:color w:val="000000"/>
                      <w:sz w:val="21"/>
                      <w:szCs w:val="21"/>
                      <w:highlight w:val="none"/>
                    </w:rPr>
                    <w:t>分，满足任意两项加</w:t>
                  </w:r>
                  <w:r>
                    <w:rPr>
                      <w:rFonts w:ascii="宋体" w:hAnsi="宋体" w:cs="宋体"/>
                      <w:color w:val="000000"/>
                      <w:sz w:val="21"/>
                      <w:szCs w:val="21"/>
                      <w:highlight w:val="none"/>
                    </w:rPr>
                    <w:t>2</w:t>
                  </w:r>
                  <w:r>
                    <w:rPr>
                      <w:rFonts w:hint="eastAsia" w:ascii="宋体" w:hAnsi="宋体" w:cs="宋体"/>
                      <w:color w:val="000000"/>
                      <w:sz w:val="21"/>
                      <w:szCs w:val="21"/>
                      <w:highlight w:val="none"/>
                    </w:rPr>
                    <w:t>分，满足任意一项加1分，其他情况不得分。</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highlight w:val="none"/>
                      <w:lang w:eastAsia="zh-CN"/>
                    </w:rPr>
                  </w:pPr>
                  <w:r>
                    <w:rPr>
                      <w:rFonts w:hint="eastAsia" w:ascii="宋体" w:hAnsi="宋体" w:cs="宋体"/>
                      <w:color w:val="000000"/>
                      <w:sz w:val="21"/>
                      <w:szCs w:val="21"/>
                      <w:highlight w:val="none"/>
                    </w:rPr>
                    <w:t>1</w:t>
                  </w:r>
                  <w:r>
                    <w:rPr>
                      <w:rFonts w:hint="default" w:ascii="宋体" w:hAnsi="宋体" w:cs="宋体"/>
                      <w:color w:val="000000"/>
                      <w:sz w:val="21"/>
                      <w:szCs w:val="21"/>
                      <w:highlight w:val="none"/>
                      <w:lang w:eastAsia="zh-CN"/>
                    </w:rPr>
                    <w:t>3</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项目重点难点分析及应对措施</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评审内容：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投标人的方案包括但不限于：</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1、对本项目信息系统的技术实现及业务的情况；</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2、根据业务需要局部修改提升的能力；</w:t>
                  </w:r>
                </w:p>
                <w:p>
                  <w:pPr>
                    <w:pStyle w:val="2"/>
                    <w:keepNext w:val="0"/>
                    <w:keepLines w:val="0"/>
                    <w:pageBreakBefore w:val="0"/>
                    <w:numPr>
                      <w:ilvl w:val="-1"/>
                      <w:numId w:val="0"/>
                    </w:numPr>
                    <w:kinsoku/>
                    <w:wordWrap/>
                    <w:overflowPunct/>
                    <w:topLinePunct w:val="0"/>
                    <w:autoSpaceDE/>
                    <w:autoSpaceDN/>
                    <w:bidi w:val="0"/>
                    <w:spacing w:after="0" w:line="240" w:lineRule="auto"/>
                    <w:textAlignment w:val="auto"/>
                    <w:rPr>
                      <w:rFonts w:ascii="Calibri" w:hAnsi="Calibri" w:cs="Calibri"/>
                      <w:color w:val="auto"/>
                      <w:sz w:val="24"/>
                      <w:szCs w:val="22"/>
                      <w:highlight w:val="none"/>
                    </w:rPr>
                  </w:pPr>
                  <w:r>
                    <w:rPr>
                      <w:rFonts w:hint="eastAsia" w:ascii="宋体" w:hAnsi="宋体" w:cs="宋体"/>
                      <w:b w:val="0"/>
                      <w:bCs w:val="0"/>
                      <w:color w:val="000000"/>
                      <w:sz w:val="21"/>
                      <w:szCs w:val="21"/>
                      <w:highlight w:val="none"/>
                      <w:lang w:val="en-US" w:eastAsia="zh-CN"/>
                    </w:rPr>
                    <w:t>3、信息安全应用能力；</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kern w:val="2"/>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日常运维管理</w:t>
                  </w:r>
                  <w:r>
                    <w:rPr>
                      <w:rFonts w:hint="eastAsia"/>
                      <w:sz w:val="21"/>
                      <w:szCs w:val="21"/>
                      <w:highlight w:val="none"/>
                    </w:rPr>
                    <w:t>优化</w:t>
                  </w:r>
                  <w:r>
                    <w:rPr>
                      <w:rFonts w:hint="eastAsia"/>
                      <w:kern w:val="2"/>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（二）评分依据：满足以上任意一点得</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分，最高得</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分，未满足不得分。在此基础上，专家根据各供应商的具体响应内容按照以下的评审因素指标进一步评审：</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从前瞻性、系统性等角度研判重难点；</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、从可实施、可操作的角度提出应对措施；</w:t>
                  </w:r>
                </w:p>
                <w:p>
                  <w:pPr>
                    <w:keepNext w:val="0"/>
                    <w:keepLines w:val="0"/>
                    <w:pageBreakBefore w:val="0"/>
                    <w:kinsoku/>
                    <w:wordWrap/>
                    <w:overflowPunct/>
                    <w:topLinePunct w:val="0"/>
                    <w:autoSpaceDE/>
                    <w:autoSpaceDN/>
                    <w:bidi w:val="0"/>
                    <w:adjustRightInd w:val="0"/>
                    <w:snapToGrid w:val="0"/>
                    <w:spacing w:line="240" w:lineRule="auto"/>
                    <w:textAlignment w:val="auto"/>
                    <w:rPr>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、内容整体科学合理、针对性强</w:t>
                  </w:r>
                  <w:r>
                    <w:rPr>
                      <w:rFonts w:hint="eastAsia" w:ascii="宋体" w:hAnsi="宋体" w:cs="宋体"/>
                      <w:color w:val="00000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满足以上三项加3分，满足任意两项加2分，满足任意一项加1分，其他情况不得分。</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highlight w:val="none"/>
                      <w:lang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5</w:t>
                  </w:r>
                </w:p>
              </w:tc>
              <w:tc>
                <w:tcPr>
                  <w:tcW w:w="0" w:type="auto"/>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三</w:t>
                  </w:r>
                </w:p>
              </w:tc>
              <w:tc>
                <w:tcPr>
                  <w:tcW w:w="0" w:type="auto"/>
                  <w:gridSpan w:val="4"/>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b/>
                      <w:bCs/>
                      <w:color w:val="000000"/>
                      <w:sz w:val="21"/>
                      <w:szCs w:val="21"/>
                      <w:highlight w:val="none"/>
                    </w:rPr>
                  </w:pPr>
                  <w:r>
                    <w:rPr>
                      <w:rFonts w:hint="eastAsia" w:ascii="宋体" w:hAnsi="宋体" w:cs="宋体"/>
                      <w:b/>
                      <w:bCs/>
                      <w:color w:val="000000"/>
                      <w:sz w:val="21"/>
                      <w:szCs w:val="21"/>
                      <w:highlight w:val="none"/>
                    </w:rPr>
                    <w:t>商务部分（4</w:t>
                  </w:r>
                  <w:r>
                    <w:rPr>
                      <w:rFonts w:hint="eastAsia" w:ascii="宋体" w:hAnsi="宋体" w:cs="宋体"/>
                      <w:b/>
                      <w:bCs/>
                      <w:color w:val="000000"/>
                      <w:sz w:val="21"/>
                      <w:szCs w:val="21"/>
                      <w:highlight w:val="none"/>
                      <w:lang w:val="en-US" w:eastAsia="zh-CN"/>
                    </w:rPr>
                    <w:t>0</w:t>
                  </w:r>
                  <w:r>
                    <w:rPr>
                      <w:rFonts w:hint="eastAsia" w:ascii="宋体" w:hAnsi="宋体" w:cs="宋体"/>
                      <w:b/>
                      <w:bCs/>
                      <w:color w:val="000000"/>
                      <w:sz w:val="21"/>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公司资质</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投标人通过相关认证情况，最高得10分：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①具有质量管理体系认证证书的得5分；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②具有信息安全管理体系认证证书的得5分；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以上1-2项合计最高得10分。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提供相关认证机构颁发的有效期内的认证证书扫描件，若证书上无法体现有效期，则还需提供认证证书网站公布的链接信息资料截图（网址以</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http://cx.cnca.cn/CertECloud/index/index/page网站公布为准），资料证书状态须显示“有效”。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如投标人成立时间不足三个月，可提供情况说明作为佐证材料，无需提供证书和认证信息查询截图亦视为满足评分要求。</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项目负责人（仅限1人）情况</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（一）评审内容：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拟安排本项目的负责人须为投标人自有员工：</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1、具有计算机类专业或软件类专业本科及以上学历；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2、具有信息系统项目管理师</w:t>
                  </w:r>
                  <w:r>
                    <w:rPr>
                      <w:rFonts w:hint="default" w:ascii="宋体" w:hAnsi="宋体" w:cs="宋体"/>
                      <w:color w:val="000000"/>
                      <w:sz w:val="21"/>
                      <w:szCs w:val="21"/>
                      <w:highlight w:val="none"/>
                    </w:rPr>
                    <w:t>资格证书</w:t>
                  </w:r>
                  <w:r>
                    <w:rPr>
                      <w:rFonts w:hint="eastAsia" w:ascii="宋体" w:hAnsi="宋体" w:cs="宋体"/>
                      <w:color w:val="000000"/>
                      <w:sz w:val="21"/>
                      <w:szCs w:val="21"/>
                      <w:highlight w:val="none"/>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3、具有中国网络安全审查认证和市场监管大数据中心（原：中国网络安全审查技术与认证中心）颁发的CISAW证书或中国信息安全测评中心颁发的CISP证书。</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以上证书每提供一个得3分，同时具备以上3项有效证书得9分。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（二）评审依据：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提供相关证书扫描件；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同时提供该人员近一个月在本公司缴纳且载有社保部门公章（或税务部门公章）的社保缴交证明材料（如开标日上一个月的社保材料因社保部门（或税务部门）原因暂时无法取得，则可以往前顺延一个月；如投标人为新成立企业且成立时间不足三个月可提供加盖公章的情况说明或者证明材料亦视为符合）。未按要求提供相关材料或不清晰导致无法判断内容的不得分，原件备查。</w:t>
                  </w:r>
                </w:p>
                <w:p>
                  <w:pPr>
                    <w:pStyle w:val="2"/>
                    <w:rPr>
                      <w:rFonts w:hint="default" w:eastAsia="宋体"/>
                      <w:lang w:val="en-US" w:eastAsia="zh-CN"/>
                    </w:rPr>
                  </w:pPr>
                  <w:r>
                    <w:rPr>
                      <w:rFonts w:hint="eastAsia" w:ascii="宋体" w:hAnsi="宋体" w:cs="宋体"/>
                      <w:color w:val="000000"/>
                      <w:sz w:val="21"/>
                      <w:szCs w:val="21"/>
                      <w:highlight w:val="none"/>
                      <w:lang w:val="en-US" w:eastAsia="zh-CN"/>
                    </w:rPr>
                    <w:t>3.学历证书以及学信网查询记录。对于较早颁发的学历、学位证书，学信网无法查询的，除要求提供证书扫描件，还需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9</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拟安排的项目主要团队成员（主要技术人员）情况（项目负责人除外）</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（一）评审内容：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投标人拟安排本项目的项目组人员须为自有员工：</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①团队成员具有计算机技术与软件专业技术高级资格证书，每个</w:t>
                  </w:r>
                  <w:r>
                    <w:rPr>
                      <w:rFonts w:hint="default" w:ascii="宋体" w:hAnsi="宋体" w:cs="宋体"/>
                      <w:color w:val="000000"/>
                      <w:sz w:val="21"/>
                      <w:szCs w:val="21"/>
                      <w:highlight w:val="none"/>
                    </w:rPr>
                    <w:t>成员</w:t>
                  </w:r>
                  <w:r>
                    <w:rPr>
                      <w:rFonts w:hint="eastAsia" w:ascii="宋体" w:hAnsi="宋体" w:cs="宋体"/>
                      <w:color w:val="000000"/>
                      <w:sz w:val="21"/>
                      <w:szCs w:val="21"/>
                      <w:highlight w:val="none"/>
                    </w:rPr>
                    <w:t>得3分；中级资格证书，每个</w:t>
                  </w:r>
                  <w:r>
                    <w:rPr>
                      <w:rFonts w:hint="default" w:ascii="宋体" w:hAnsi="宋体" w:cs="宋体"/>
                      <w:color w:val="000000"/>
                      <w:sz w:val="21"/>
                      <w:szCs w:val="21"/>
                      <w:highlight w:val="none"/>
                    </w:rPr>
                    <w:t>成员</w:t>
                  </w:r>
                  <w:r>
                    <w:rPr>
                      <w:rFonts w:hint="eastAsia" w:ascii="宋体" w:hAnsi="宋体" w:cs="宋体"/>
                      <w:color w:val="000000"/>
                      <w:sz w:val="21"/>
                      <w:szCs w:val="21"/>
                      <w:highlight w:val="none"/>
                    </w:rPr>
                    <w:t>得2分；最高得</w:t>
                  </w:r>
                  <w:r>
                    <w:rPr>
                      <w:rFonts w:ascii="宋体" w:hAnsi="宋体" w:cs="宋体"/>
                      <w:color w:val="000000"/>
                      <w:sz w:val="21"/>
                      <w:szCs w:val="21"/>
                      <w:highlight w:val="none"/>
                    </w:rPr>
                    <w:t>8</w:t>
                  </w:r>
                  <w:r>
                    <w:rPr>
                      <w:rFonts w:hint="eastAsia" w:ascii="宋体" w:hAnsi="宋体" w:cs="宋体"/>
                      <w:color w:val="000000"/>
                      <w:sz w:val="21"/>
                      <w:szCs w:val="21"/>
                      <w:highlight w:val="none"/>
                    </w:rPr>
                    <w:t>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②团队成员具有中国网络安全审查认证和市场监管大数据中心（原：中国网络安全审查技术与认证中心）颁发的CISAW证书或中国信息安全测评中心颁发的CISP证书，每个得</w:t>
                  </w:r>
                  <w:r>
                    <w:rPr>
                      <w:rFonts w:ascii="宋体" w:hAnsi="宋体" w:cs="宋体"/>
                      <w:color w:val="000000"/>
                      <w:sz w:val="21"/>
                      <w:szCs w:val="21"/>
                      <w:highlight w:val="none"/>
                    </w:rPr>
                    <w:t>2</w:t>
                  </w:r>
                  <w:r>
                    <w:rPr>
                      <w:rFonts w:hint="eastAsia" w:ascii="宋体" w:hAnsi="宋体" w:cs="宋体"/>
                      <w:color w:val="000000"/>
                      <w:sz w:val="21"/>
                      <w:szCs w:val="21"/>
                      <w:highlight w:val="none"/>
                    </w:rPr>
                    <w:t>分，最高得</w:t>
                  </w:r>
                  <w:r>
                    <w:rPr>
                      <w:rFonts w:ascii="宋体" w:hAnsi="宋体" w:cs="宋体"/>
                      <w:color w:val="000000"/>
                      <w:sz w:val="21"/>
                      <w:szCs w:val="21"/>
                      <w:highlight w:val="none"/>
                    </w:rPr>
                    <w:t>2</w:t>
                  </w:r>
                  <w:r>
                    <w:rPr>
                      <w:rFonts w:hint="eastAsia" w:ascii="宋体" w:hAnsi="宋体" w:cs="宋体"/>
                      <w:color w:val="000000"/>
                      <w:sz w:val="21"/>
                      <w:szCs w:val="21"/>
                      <w:highlight w:val="none"/>
                    </w:rPr>
                    <w:t>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（二）评审依据：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提供相关人员相关证书扫描件；同时提供相关人员近一个月在本公司缴纳且载有社保部门公章（或税务部门公章）的社保缴交证明材料（如开标日上一个月的社保材料因社保部门（或税务部门）原因暂时无法取得，则可以往前顺延一个月）。未按要求提供相关材料或不清晰导致无法判断内容的不得分，原件备查。</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10</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0" w:type="auto"/>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同类项目业绩</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考察投标人</w:t>
                  </w:r>
                  <w:r>
                    <w:rPr>
                      <w:rFonts w:hint="eastAsia" w:ascii="宋体" w:hAnsi="宋体" w:cs="宋体"/>
                      <w:color w:val="000000"/>
                      <w:sz w:val="21"/>
                      <w:szCs w:val="21"/>
                      <w:highlight w:val="none"/>
                      <w:lang w:val="en-US" w:eastAsia="zh-CN"/>
                    </w:rPr>
                    <w:t>2023</w:t>
                  </w:r>
                  <w:r>
                    <w:rPr>
                      <w:rFonts w:hint="eastAsia" w:ascii="宋体" w:hAnsi="宋体" w:cs="宋体"/>
                      <w:color w:val="000000"/>
                      <w:sz w:val="21"/>
                      <w:szCs w:val="21"/>
                      <w:highlight w:val="none"/>
                    </w:rPr>
                    <w:t>年1月1日至本项目投标截止之日）承担</w:t>
                  </w:r>
                  <w:r>
                    <w:rPr>
                      <w:rFonts w:hint="default" w:ascii="宋体" w:hAnsi="宋体" w:cs="宋体"/>
                      <w:color w:val="000000"/>
                      <w:sz w:val="21"/>
                      <w:szCs w:val="21"/>
                      <w:highlight w:val="none"/>
                    </w:rPr>
                    <w:t>软件系统运维</w:t>
                  </w:r>
                  <w:r>
                    <w:rPr>
                      <w:rFonts w:hint="eastAsia" w:ascii="宋体" w:hAnsi="宋体" w:cs="宋体"/>
                      <w:color w:val="000000"/>
                      <w:sz w:val="21"/>
                      <w:szCs w:val="21"/>
                      <w:highlight w:val="none"/>
                    </w:rPr>
                    <w:t>服务类项目业绩：每提供一个得</w:t>
                  </w:r>
                  <w:r>
                    <w:rPr>
                      <w:rFonts w:ascii="宋体" w:hAnsi="宋体" w:cs="宋体"/>
                      <w:color w:val="000000"/>
                      <w:sz w:val="21"/>
                      <w:szCs w:val="21"/>
                      <w:highlight w:val="none"/>
                    </w:rPr>
                    <w:t>2</w:t>
                  </w:r>
                  <w:r>
                    <w:rPr>
                      <w:rFonts w:hint="eastAsia" w:ascii="宋体" w:hAnsi="宋体" w:cs="宋体"/>
                      <w:color w:val="000000"/>
                      <w:sz w:val="21"/>
                      <w:szCs w:val="21"/>
                      <w:highlight w:val="none"/>
                    </w:rPr>
                    <w:t>分，最高得</w:t>
                  </w:r>
                  <w:r>
                    <w:rPr>
                      <w:rFonts w:ascii="宋体" w:hAnsi="宋体" w:cs="宋体"/>
                      <w:color w:val="000000"/>
                      <w:sz w:val="21"/>
                      <w:szCs w:val="21"/>
                      <w:highlight w:val="none"/>
                    </w:rPr>
                    <w:t>6</w:t>
                  </w:r>
                  <w:r>
                    <w:rPr>
                      <w:rFonts w:hint="eastAsia" w:ascii="宋体" w:hAnsi="宋体" w:cs="宋体"/>
                      <w:color w:val="000000"/>
                      <w:sz w:val="21"/>
                      <w:szCs w:val="21"/>
                      <w:highlight w:val="none"/>
                    </w:rPr>
                    <w:t xml:space="preserve">分； </w:t>
                  </w:r>
                  <w:r>
                    <w:rPr>
                      <w:rFonts w:hint="eastAsia" w:ascii="宋体" w:hAnsi="宋体" w:cs="宋体"/>
                      <w:color w:val="000000"/>
                      <w:sz w:val="21"/>
                      <w:szCs w:val="21"/>
                      <w:highlight w:val="none"/>
                    </w:rPr>
                    <w:br w:type="textWrapping"/>
                  </w:r>
                  <w:r>
                    <w:rPr>
                      <w:rFonts w:hint="eastAsia" w:ascii="宋体" w:hAnsi="宋体" w:cs="宋体"/>
                      <w:color w:val="000000"/>
                      <w:sz w:val="21"/>
                      <w:szCs w:val="21"/>
                      <w:highlight w:val="none"/>
                    </w:rPr>
                    <w:t>1.提供合同关键信息（含签订合同双方的单位名称、合同项目名称和签订双方的落款盖章、签订日期等关键信息）作为得分依据。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2.以上资料均需提供复印件。未提供证明资料或专家无法凭所提供资料判断是否得分的情况，一律作不得分处理。</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0" w:type="auto"/>
                  <w:tcBorders>
                    <w:lef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trPr>
              <w:tc>
                <w:tcPr>
                  <w:tcW w:w="0" w:type="auto"/>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诚信情况</w:t>
                  </w:r>
                </w:p>
              </w:tc>
              <w:tc>
                <w:tcPr>
                  <w:tcW w:w="0" w:type="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（一）评分内容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ascii="宋体" w:hAnsi="宋体" w:cs="宋体"/>
                      <w:color w:val="000000"/>
                      <w:sz w:val="21"/>
                      <w:szCs w:val="21"/>
                      <w:highlight w:val="none"/>
                    </w:rPr>
                    <w:t>5</w:t>
                  </w:r>
                  <w:r>
                    <w:rPr>
                      <w:rFonts w:hint="eastAsia" w:ascii="宋体" w:hAnsi="宋体" w:cs="宋体"/>
                      <w:color w:val="000000"/>
                      <w:sz w:val="21"/>
                      <w:szCs w:val="21"/>
                      <w:highlight w:val="none"/>
                    </w:rPr>
                    <w:t>分。投标人无需提供任何证明材料，由工作人员查询后向评审委员会提供相关信息。</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（二）评分依据：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r>
                    <w:rPr>
                      <w:rFonts w:hint="eastAsia" w:ascii="宋体" w:hAnsi="宋体" w:cs="宋体"/>
                      <w:color w:val="000000"/>
                      <w:sz w:val="21"/>
                      <w:szCs w:val="21"/>
                      <w:highlight w:val="none"/>
                      <w:lang w:eastAsia="zh-CN"/>
                    </w:rPr>
                    <w:t>。</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w:t>
                  </w:r>
                </w:p>
              </w:tc>
              <w:tc>
                <w:tcPr>
                  <w:tcW w:w="0" w:type="auto"/>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0" w:type="auto"/>
                  <w:gridSpan w:val="3"/>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合计</w:t>
                  </w:r>
                </w:p>
              </w:tc>
              <w:tc>
                <w:tcPr>
                  <w:tcW w:w="0" w:type="auto"/>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100</w:t>
                  </w:r>
                </w:p>
              </w:tc>
              <w:tc>
                <w:tcPr>
                  <w:tcW w:w="0" w:type="auto"/>
                  <w:tcBorders>
                    <w:lef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宋体"/>
                      <w:color w:val="000000"/>
                      <w:sz w:val="21"/>
                      <w:szCs w:val="21"/>
                      <w:highlight w:val="none"/>
                    </w:rPr>
                  </w:pPr>
                </w:p>
              </w:tc>
            </w:tr>
          </w:tbl>
          <w:p>
            <w:pPr>
              <w:adjustRightInd w:val="0"/>
              <w:snapToGrid w:val="0"/>
              <w:spacing w:line="360" w:lineRule="auto"/>
              <w:rPr>
                <w:rFonts w:ascii="宋体" w:hAnsi="宋体" w:cs="宋体"/>
                <w:color w:val="000000"/>
                <w:sz w:val="21"/>
                <w:szCs w:val="21"/>
                <w:highlight w:val="none"/>
              </w:rPr>
            </w:pPr>
          </w:p>
        </w:tc>
      </w:tr>
    </w:tbl>
    <w:p>
      <w:pPr>
        <w:pStyle w:val="4"/>
        <w:spacing w:line="580" w:lineRule="exact"/>
        <w:ind w:firstLine="0" w:firstLineChars="0"/>
        <w:rPr>
          <w:rFonts w:ascii="黑体" w:hAnsi="黑体" w:eastAsia="黑体" w:cs="黑体"/>
          <w:sz w:val="32"/>
          <w:szCs w:val="32"/>
          <w:highlight w:val="none"/>
          <w:lang w:bidi="ar"/>
        </w:rPr>
      </w:pPr>
    </w:p>
    <w:p>
      <w:pPr>
        <w:widowControl/>
        <w:spacing w:line="580" w:lineRule="exact"/>
        <w:rPr>
          <w:rFonts w:ascii="黑体" w:hAnsi="黑体" w:eastAsia="黑体" w:cs="黑体"/>
          <w:sz w:val="32"/>
          <w:szCs w:val="32"/>
          <w:highlight w:val="none"/>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EEFD749E"/>
    <w:rsid w:val="FBCC9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Normal Indent"/>
    <w:basedOn w:val="1"/>
    <w:next w:val="2"/>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2026-06-12T16:34:45Z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