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ind w:firstLine="640" w:firstLineChars="200"/>
        <w:rPr>
          <w:rFonts w:hint="eastAsia" w:ascii="方正黑体_GBK" w:hAnsi="方正黑体_GBK" w:eastAsia="方正黑体_GBK" w:cs="方正黑体_GBK"/>
          <w:color w:val="000000"/>
          <w:spacing w:val="4"/>
          <w:sz w:val="32"/>
          <w:szCs w:val="32"/>
        </w:rPr>
      </w:pPr>
      <w:r>
        <w:rPr>
          <w:rFonts w:hint="eastAsia" w:ascii="黑体" w:hAnsi="黑体" w:eastAsia="黑体" w:cs="黑体"/>
          <w:sz w:val="32"/>
          <w:szCs w:val="32"/>
          <w:lang w:bidi="ar"/>
        </w:rPr>
        <w:t>附件2</w:t>
      </w:r>
      <w:r>
        <w:rPr>
          <w:rFonts w:hint="default" w:ascii="黑体" w:hAnsi="黑体" w:eastAsia="黑体" w:cs="黑体"/>
          <w:sz w:val="32"/>
          <w:szCs w:val="32"/>
          <w:lang w:bidi="ar"/>
        </w:rPr>
        <w:t xml:space="preserve">           </w:t>
      </w:r>
      <w:r>
        <w:rPr>
          <w:rFonts w:hint="eastAsia" w:ascii="方正黑体_GBK" w:hAnsi="方正黑体_GBK" w:eastAsia="方正黑体_GBK" w:cs="方正黑体_GBK"/>
          <w:color w:val="000000"/>
          <w:spacing w:val="4"/>
          <w:sz w:val="32"/>
          <w:szCs w:val="32"/>
        </w:rPr>
        <w:t>评分细则</w:t>
      </w:r>
    </w:p>
    <w:tbl>
      <w:tblPr>
        <w:tblStyle w:val="5"/>
        <w:tblW w:w="9449" w:type="dxa"/>
        <w:jc w:val="center"/>
        <w:tblCellSpacing w:w="0" w:type="dxa"/>
        <w:tblLayout w:type="fixed"/>
        <w:tblCellMar>
          <w:top w:w="45" w:type="dxa"/>
          <w:left w:w="45" w:type="dxa"/>
          <w:bottom w:w="45" w:type="dxa"/>
          <w:right w:w="45" w:type="dxa"/>
        </w:tblCellMar>
      </w:tblPr>
      <w:tblGrid>
        <w:gridCol w:w="8948"/>
        <w:gridCol w:w="501"/>
      </w:tblGrid>
      <w:tr>
        <w:tblPrEx>
          <w:tblCellMar>
            <w:top w:w="45" w:type="dxa"/>
            <w:left w:w="45" w:type="dxa"/>
            <w:bottom w:w="45" w:type="dxa"/>
            <w:right w:w="45" w:type="dxa"/>
          </w:tblCellMar>
        </w:tblPrEx>
        <w:trPr>
          <w:tblCellSpacing w:w="0" w:type="dxa"/>
          <w:jc w:val="center"/>
        </w:trPr>
        <w:tc>
          <w:tcPr>
            <w:tcW w:w="8948" w:type="dxa"/>
            <w:tcBorders>
              <w:top w:val="nil"/>
              <w:left w:val="nil"/>
              <w:bottom w:val="nil"/>
              <w:right w:val="nil"/>
            </w:tcBorders>
            <w:vAlign w:val="center"/>
          </w:tcPr>
          <w:p>
            <w:pPr>
              <w:adjustRightInd w:val="0"/>
              <w:snapToGrid w:val="0"/>
              <w:spacing w:line="360" w:lineRule="auto"/>
              <w:rPr>
                <w:rFonts w:ascii="宋体" w:hAnsi="宋体" w:cs="宋体"/>
                <w:color w:val="000000"/>
                <w:sz w:val="21"/>
                <w:szCs w:val="21"/>
              </w:rPr>
            </w:pPr>
            <w:r>
              <w:rPr>
                <w:rFonts w:hint="eastAsia" w:ascii="宋体" w:hAnsi="宋体" w:cs="宋体"/>
                <w:color w:val="000000"/>
                <w:sz w:val="21"/>
                <w:szCs w:val="21"/>
              </w:rPr>
              <w:t>评标方法：综合评分法</w:t>
            </w:r>
          </w:p>
        </w:tc>
        <w:tc>
          <w:tcPr>
            <w:tcW w:w="501" w:type="dxa"/>
            <w:tcBorders>
              <w:top w:val="nil"/>
              <w:left w:val="nil"/>
              <w:bottom w:val="nil"/>
              <w:right w:val="nil"/>
            </w:tcBorders>
            <w:vAlign w:val="center"/>
          </w:tcPr>
          <w:p>
            <w:pPr>
              <w:adjustRightInd w:val="0"/>
              <w:snapToGrid w:val="0"/>
              <w:spacing w:line="360" w:lineRule="auto"/>
              <w:rPr>
                <w:rFonts w:ascii="宋体" w:hAnsi="宋体" w:cs="宋体"/>
                <w:color w:val="000000"/>
                <w:sz w:val="21"/>
                <w:szCs w:val="21"/>
              </w:rPr>
            </w:pPr>
          </w:p>
        </w:tc>
      </w:tr>
      <w:tr>
        <w:tblPrEx>
          <w:tblCellMar>
            <w:top w:w="45" w:type="dxa"/>
            <w:left w:w="45" w:type="dxa"/>
            <w:bottom w:w="45" w:type="dxa"/>
            <w:right w:w="45" w:type="dxa"/>
          </w:tblCellMar>
        </w:tblPrEx>
        <w:trPr>
          <w:tblCellSpacing w:w="0" w:type="dxa"/>
          <w:jc w:val="center"/>
        </w:trPr>
        <w:tc>
          <w:tcPr>
            <w:tcW w:w="9449" w:type="dxa"/>
            <w:gridSpan w:val="2"/>
            <w:tcBorders>
              <w:top w:val="nil"/>
              <w:left w:val="nil"/>
              <w:bottom w:val="nil"/>
              <w:right w:val="nil"/>
            </w:tcBorders>
            <w:vAlign w:val="center"/>
          </w:tcPr>
          <w:p>
            <w:pPr>
              <w:adjustRightInd w:val="0"/>
              <w:snapToGrid w:val="0"/>
              <w:spacing w:line="360"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评标方法为综合评分法。综合评分法中的价格分统一采用低价优先法计算，即满足招标文件要求且投标价格最低的投标报价为评标基准价，其价格分为满分。其他投标人的价格分统一按照下列公式计算：</w:t>
            </w:r>
          </w:p>
          <w:p>
            <w:pPr>
              <w:adjustRightInd w:val="0"/>
              <w:snapToGrid w:val="0"/>
              <w:spacing w:line="360" w:lineRule="auto"/>
              <w:rPr>
                <w:rFonts w:ascii="宋体" w:hAnsi="宋体" w:cs="宋体"/>
                <w:color w:val="000000"/>
                <w:sz w:val="21"/>
                <w:szCs w:val="21"/>
              </w:rPr>
            </w:pPr>
            <w:r>
              <w:rPr>
                <w:rFonts w:hint="eastAsia" w:ascii="宋体" w:hAnsi="宋体" w:eastAsia="宋体" w:cs="宋体"/>
                <w:color w:val="000000"/>
                <w:sz w:val="21"/>
                <w:szCs w:val="21"/>
                <w:lang w:val="en-US" w:eastAsia="zh-CN"/>
              </w:rPr>
              <w:t>投标报价得分=（评标基准价/投标报价）×分值</w:t>
            </w:r>
          </w:p>
        </w:tc>
      </w:tr>
      <w:tr>
        <w:tblPrEx>
          <w:tblCellMar>
            <w:top w:w="45" w:type="dxa"/>
            <w:left w:w="45" w:type="dxa"/>
            <w:bottom w:w="45" w:type="dxa"/>
            <w:right w:w="45" w:type="dxa"/>
          </w:tblCellMar>
        </w:tblPrEx>
        <w:trPr>
          <w:tblCellSpacing w:w="0" w:type="dxa"/>
          <w:jc w:val="center"/>
        </w:trPr>
        <w:tc>
          <w:tcPr>
            <w:tcW w:w="9449" w:type="dxa"/>
            <w:gridSpan w:val="2"/>
            <w:tcBorders>
              <w:top w:val="nil"/>
              <w:left w:val="nil"/>
              <w:bottom w:val="nil"/>
              <w:right w:val="nil"/>
            </w:tcBorders>
            <w:vAlign w:val="center"/>
          </w:tcPr>
          <w:tbl>
            <w:tblPr>
              <w:tblStyle w:val="5"/>
              <w:tblW w:w="23291" w:type="dxa"/>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26"/>
              <w:gridCol w:w="1156"/>
              <w:gridCol w:w="6420"/>
              <w:gridCol w:w="679"/>
              <w:gridCol w:w="566"/>
              <w:gridCol w:w="236"/>
              <w:gridCol w:w="5208"/>
              <w:gridCol w:w="85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3"/>
                <w:wAfter w:w="2993" w:type="pct"/>
                <w:trHeight w:val="883" w:hRule="atLeast"/>
              </w:trPr>
              <w:tc>
                <w:tcPr>
                  <w:tcW w:w="112" w:type="pct"/>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评审部分</w:t>
                  </w:r>
                </w:p>
              </w:tc>
              <w:tc>
                <w:tcPr>
                  <w:tcW w:w="248" w:type="pct"/>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评审因素</w:t>
                  </w:r>
                </w:p>
              </w:tc>
              <w:tc>
                <w:tcPr>
                  <w:tcW w:w="1378" w:type="pct"/>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评分细则</w:t>
                  </w:r>
                </w:p>
              </w:tc>
              <w:tc>
                <w:tcPr>
                  <w:tcW w:w="145" w:type="pct"/>
                  <w:tcBorders>
                    <w:right w:val="single" w:color="auto" w:sz="4" w:space="0"/>
                  </w:tcBorders>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权重</w:t>
                  </w:r>
                </w:p>
              </w:tc>
              <w:tc>
                <w:tcPr>
                  <w:tcW w:w="121" w:type="pct"/>
                  <w:tcBorders>
                    <w:left w:val="single" w:color="auto" w:sz="4" w:space="0"/>
                  </w:tcBorders>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分数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3"/>
                <w:wAfter w:w="2993" w:type="pct"/>
                <w:trHeight w:val="363" w:hRule="atLeast"/>
              </w:trPr>
              <w:tc>
                <w:tcPr>
                  <w:tcW w:w="112" w:type="pct"/>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一</w:t>
                  </w:r>
                </w:p>
              </w:tc>
              <w:tc>
                <w:tcPr>
                  <w:tcW w:w="1893" w:type="pct"/>
                  <w:gridSpan w:val="4"/>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价格部分（</w:t>
                  </w:r>
                  <w:r>
                    <w:rPr>
                      <w:rFonts w:hint="default" w:ascii="宋体" w:hAnsi="宋体" w:cs="宋体"/>
                      <w:color w:val="000000"/>
                      <w:sz w:val="21"/>
                      <w:szCs w:val="21"/>
                      <w:lang w:eastAsia="zh-CN"/>
                    </w:rPr>
                    <w:t>2</w:t>
                  </w:r>
                  <w:r>
                    <w:rPr>
                      <w:rFonts w:hint="eastAsia" w:ascii="宋体" w:hAnsi="宋体" w:cs="宋体"/>
                      <w:color w:val="000000"/>
                      <w:sz w:val="21"/>
                      <w:szCs w:val="21"/>
                    </w:rPr>
                    <w:t>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3"/>
                <w:wAfter w:w="2993" w:type="pct"/>
                <w:trHeight w:val="883" w:hRule="atLeast"/>
              </w:trPr>
              <w:tc>
                <w:tcPr>
                  <w:tcW w:w="112" w:type="pct"/>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1</w:t>
                  </w:r>
                </w:p>
              </w:tc>
              <w:tc>
                <w:tcPr>
                  <w:tcW w:w="248" w:type="pct"/>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投标报价</w:t>
                  </w:r>
                </w:p>
              </w:tc>
              <w:tc>
                <w:tcPr>
                  <w:tcW w:w="1378" w:type="pct"/>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价格分应当采用低价优先法计算，即满足招标文件要求且投标价格最低的投标报价为评标基准价，其价格分为满分。其他投标人的价格分统一按照下列公式计算：</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投标报价得分=(评标基准价／投标报价)×100×权重</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备注：投标报价得分四舍五入后，小数点后保留两位有效数。</w:t>
                  </w:r>
                </w:p>
              </w:tc>
              <w:tc>
                <w:tcPr>
                  <w:tcW w:w="145" w:type="pct"/>
                  <w:tcBorders>
                    <w:right w:val="single" w:color="auto" w:sz="4" w:space="0"/>
                  </w:tcBorders>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cs="宋体"/>
                      <w:color w:val="000000"/>
                      <w:sz w:val="21"/>
                      <w:szCs w:val="21"/>
                      <w:lang w:eastAsia="zh-CN"/>
                    </w:rPr>
                  </w:pPr>
                  <w:r>
                    <w:rPr>
                      <w:rFonts w:hint="default" w:ascii="宋体" w:hAnsi="宋体" w:cs="宋体"/>
                      <w:color w:val="000000"/>
                      <w:sz w:val="21"/>
                      <w:szCs w:val="21"/>
                      <w:lang w:eastAsia="zh-CN"/>
                    </w:rPr>
                    <w:t>20</w:t>
                  </w:r>
                </w:p>
              </w:tc>
              <w:tc>
                <w:tcPr>
                  <w:tcW w:w="121" w:type="pct"/>
                  <w:tcBorders>
                    <w:left w:val="single" w:color="auto" w:sz="4" w:space="0"/>
                  </w:tcBorders>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color w:val="000000"/>
                      <w:sz w:val="21"/>
                      <w:szCs w:val="21"/>
                      <w:lang w:eastAsia="zh-CN"/>
                    </w:rPr>
                  </w:pPr>
                  <w:r>
                    <w:rPr>
                      <w:rFonts w:hint="default" w:ascii="宋体" w:hAnsi="宋体" w:cs="宋体"/>
                      <w:color w:val="000000"/>
                      <w:sz w:val="21"/>
                      <w:szCs w:val="21"/>
                      <w:lang w:eastAsia="zh-CN"/>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3"/>
                <w:wAfter w:w="2993" w:type="pct"/>
                <w:trHeight w:val="441" w:hRule="atLeast"/>
              </w:trPr>
              <w:tc>
                <w:tcPr>
                  <w:tcW w:w="112" w:type="pct"/>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二</w:t>
                  </w:r>
                </w:p>
              </w:tc>
              <w:tc>
                <w:tcPr>
                  <w:tcW w:w="1893" w:type="pct"/>
                  <w:gridSpan w:val="4"/>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技术部分（</w:t>
                  </w:r>
                  <w:r>
                    <w:rPr>
                      <w:rFonts w:hint="default" w:ascii="宋体" w:hAnsi="宋体" w:cs="宋体"/>
                      <w:color w:val="000000"/>
                      <w:sz w:val="21"/>
                      <w:szCs w:val="21"/>
                      <w:lang w:eastAsia="zh-CN"/>
                    </w:rPr>
                    <w:t>37</w:t>
                  </w:r>
                  <w:r>
                    <w:rPr>
                      <w:rFonts w:hint="eastAsia" w:ascii="宋体" w:hAnsi="宋体" w:cs="宋体"/>
                      <w:color w:val="000000"/>
                      <w:sz w:val="21"/>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3"/>
                <w:wAfter w:w="2993" w:type="pct"/>
                <w:trHeight w:val="263" w:hRule="atLeast"/>
              </w:trPr>
              <w:tc>
                <w:tcPr>
                  <w:tcW w:w="112" w:type="pct"/>
                  <w:tcBorders>
                    <w:bottom w:val="single" w:color="auto" w:sz="4" w:space="0"/>
                  </w:tcBorders>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1</w:t>
                  </w:r>
                </w:p>
              </w:tc>
              <w:tc>
                <w:tcPr>
                  <w:tcW w:w="248" w:type="pct"/>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项目维护方案</w:t>
                  </w:r>
                </w:p>
              </w:tc>
              <w:tc>
                <w:tcPr>
                  <w:tcW w:w="1378" w:type="pct"/>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投标人须针对本项目需求提供维护方案，包括下述内容：</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1.运维计划；</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2.运维内容；</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3.运维团队；</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满足以上3项要求得</w:t>
                  </w:r>
                  <w:r>
                    <w:rPr>
                      <w:rFonts w:hint="default" w:ascii="宋体" w:hAnsi="宋体" w:cs="宋体"/>
                      <w:color w:val="000000"/>
                      <w:sz w:val="21"/>
                      <w:szCs w:val="21"/>
                      <w:lang w:eastAsia="zh-CN"/>
                    </w:rPr>
                    <w:t>9</w:t>
                  </w:r>
                  <w:r>
                    <w:rPr>
                      <w:rFonts w:hint="eastAsia" w:ascii="宋体" w:hAnsi="宋体" w:cs="宋体"/>
                      <w:color w:val="000000"/>
                      <w:sz w:val="21"/>
                      <w:szCs w:val="21"/>
                    </w:rPr>
                    <w:t>分，满足以上2项要求得</w:t>
                  </w:r>
                  <w:r>
                    <w:rPr>
                      <w:rFonts w:hint="default" w:ascii="宋体" w:hAnsi="宋体" w:cs="宋体"/>
                      <w:color w:val="000000"/>
                      <w:sz w:val="21"/>
                      <w:szCs w:val="21"/>
                      <w:lang w:eastAsia="zh-CN"/>
                    </w:rPr>
                    <w:t>6</w:t>
                  </w:r>
                  <w:r>
                    <w:rPr>
                      <w:rFonts w:hint="eastAsia" w:ascii="宋体" w:hAnsi="宋体" w:cs="宋体"/>
                      <w:color w:val="000000"/>
                      <w:sz w:val="21"/>
                      <w:szCs w:val="21"/>
                    </w:rPr>
                    <w:t>分，满足以上1项要求得</w:t>
                  </w:r>
                  <w:r>
                    <w:rPr>
                      <w:rFonts w:hint="default" w:ascii="宋体" w:hAnsi="宋体" w:cs="宋体"/>
                      <w:color w:val="000000"/>
                      <w:sz w:val="21"/>
                      <w:szCs w:val="21"/>
                      <w:lang w:eastAsia="zh-CN"/>
                    </w:rPr>
                    <w:t>3</w:t>
                  </w:r>
                  <w:r>
                    <w:rPr>
                      <w:rFonts w:hint="eastAsia" w:ascii="宋体" w:hAnsi="宋体" w:cs="宋体"/>
                      <w:color w:val="000000"/>
                      <w:sz w:val="21"/>
                      <w:szCs w:val="21"/>
                    </w:rPr>
                    <w:t>分，其他不得分。</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在此基础上，根据供应商的具体响应内容按照量化的评审因素指标进一步评审：</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1.总体服务方案全面完整；</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2.对本项目服务内容和要求理解到位，方案内容合理，表达清晰；</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3.有具体的人员安排及明确的分工，明确指出项目组织管理，指出人员和项目管理制度、组织架构、人员配置、职责分工。</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满足以上三点评价为优得</w:t>
                  </w:r>
                  <w:r>
                    <w:rPr>
                      <w:rFonts w:hint="default" w:ascii="宋体" w:hAnsi="宋体" w:cs="宋体"/>
                      <w:color w:val="000000"/>
                      <w:sz w:val="21"/>
                      <w:szCs w:val="21"/>
                    </w:rPr>
                    <w:t>3</w:t>
                  </w:r>
                  <w:r>
                    <w:rPr>
                      <w:rFonts w:hint="eastAsia" w:ascii="宋体" w:hAnsi="宋体" w:cs="宋体"/>
                      <w:color w:val="000000"/>
                      <w:sz w:val="21"/>
                      <w:szCs w:val="21"/>
                    </w:rPr>
                    <w:t>分；满足以上任意两点评价为良得</w:t>
                  </w:r>
                  <w:r>
                    <w:rPr>
                      <w:rFonts w:hint="default" w:ascii="宋体" w:hAnsi="宋体" w:cs="宋体"/>
                      <w:color w:val="000000"/>
                      <w:sz w:val="21"/>
                      <w:szCs w:val="21"/>
                    </w:rPr>
                    <w:t>2</w:t>
                  </w:r>
                  <w:r>
                    <w:rPr>
                      <w:rFonts w:hint="eastAsia" w:ascii="宋体" w:hAnsi="宋体" w:cs="宋体"/>
                      <w:color w:val="000000"/>
                      <w:sz w:val="21"/>
                      <w:szCs w:val="21"/>
                    </w:rPr>
                    <w:t>分；满足以上任意一点评价为中得</w:t>
                  </w:r>
                  <w:r>
                    <w:rPr>
                      <w:rFonts w:hint="default" w:ascii="宋体" w:hAnsi="宋体" w:cs="宋体"/>
                      <w:color w:val="000000"/>
                      <w:sz w:val="21"/>
                      <w:szCs w:val="21"/>
                    </w:rPr>
                    <w:t>1</w:t>
                  </w:r>
                  <w:r>
                    <w:rPr>
                      <w:rFonts w:hint="eastAsia" w:ascii="宋体" w:hAnsi="宋体" w:cs="宋体"/>
                      <w:color w:val="000000"/>
                      <w:sz w:val="21"/>
                      <w:szCs w:val="21"/>
                    </w:rPr>
                    <w:t>分；评价为差不得分。</w:t>
                  </w:r>
                </w:p>
              </w:tc>
              <w:tc>
                <w:tcPr>
                  <w:tcW w:w="145" w:type="pct"/>
                  <w:tcBorders>
                    <w:right w:val="single" w:color="auto" w:sz="4" w:space="0"/>
                  </w:tcBorders>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cs="宋体"/>
                      <w:color w:val="000000"/>
                      <w:sz w:val="21"/>
                      <w:szCs w:val="21"/>
                      <w:lang w:eastAsia="zh-CN"/>
                    </w:rPr>
                  </w:pPr>
                  <w:r>
                    <w:rPr>
                      <w:rFonts w:hint="eastAsia" w:ascii="宋体" w:hAnsi="宋体" w:cs="宋体"/>
                      <w:color w:val="000000"/>
                      <w:sz w:val="21"/>
                      <w:szCs w:val="21"/>
                    </w:rPr>
                    <w:t>1</w:t>
                  </w:r>
                  <w:r>
                    <w:rPr>
                      <w:rFonts w:hint="default" w:ascii="宋体" w:hAnsi="宋体" w:cs="宋体"/>
                      <w:color w:val="000000"/>
                      <w:sz w:val="21"/>
                      <w:szCs w:val="21"/>
                      <w:lang w:eastAsia="zh-CN"/>
                    </w:rPr>
                    <w:t>2</w:t>
                  </w:r>
                </w:p>
              </w:tc>
              <w:tc>
                <w:tcPr>
                  <w:tcW w:w="121" w:type="pct"/>
                  <w:tcBorders>
                    <w:left w:val="single" w:color="auto" w:sz="4" w:space="0"/>
                  </w:tcBorders>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color w:val="000000"/>
                      <w:sz w:val="21"/>
                      <w:szCs w:val="21"/>
                      <w:lang w:eastAsia="zh-CN"/>
                    </w:rPr>
                  </w:pPr>
                  <w:r>
                    <w:rPr>
                      <w:rFonts w:hint="eastAsia" w:ascii="宋体" w:hAnsi="宋体" w:cs="宋体"/>
                      <w:color w:val="000000"/>
                      <w:sz w:val="21"/>
                      <w:szCs w:val="21"/>
                      <w:lang w:val="en-US" w:eastAsia="zh-CN"/>
                    </w:rPr>
                    <w:t>1</w:t>
                  </w:r>
                  <w:r>
                    <w:rPr>
                      <w:rFonts w:hint="default" w:ascii="宋体" w:hAnsi="宋体" w:cs="宋体"/>
                      <w:color w:val="000000"/>
                      <w:sz w:val="21"/>
                      <w:szCs w:val="21"/>
                      <w:lang w:eastAsia="zh-CN"/>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3"/>
                <w:wAfter w:w="2993" w:type="pct"/>
                <w:trHeight w:val="883" w:hRule="atLeast"/>
              </w:trPr>
              <w:tc>
                <w:tcPr>
                  <w:tcW w:w="112" w:type="pct"/>
                  <w:tcBorders>
                    <w:bottom w:val="single" w:color="auto" w:sz="4" w:space="0"/>
                  </w:tcBorders>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2</w:t>
                  </w:r>
                </w:p>
              </w:tc>
              <w:tc>
                <w:tcPr>
                  <w:tcW w:w="248" w:type="pct"/>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质量保障方案</w:t>
                  </w:r>
                </w:p>
              </w:tc>
              <w:tc>
                <w:tcPr>
                  <w:tcW w:w="1378" w:type="pct"/>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（一）评审内容：考察针对本项目提供以下3点内容：</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投标人的方案包括但不限于：</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1、质量保障组织架构及角色分工；</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2、日常运维保障手段及运用的工具和技术；</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3、运维故障的响应。</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（二）评分依据：</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满足以上任意一点得</w:t>
                  </w:r>
                  <w:r>
                    <w:rPr>
                      <w:rFonts w:hint="default" w:ascii="宋体" w:hAnsi="宋体" w:cs="宋体"/>
                      <w:color w:val="000000"/>
                      <w:sz w:val="21"/>
                      <w:szCs w:val="21"/>
                    </w:rPr>
                    <w:t>3</w:t>
                  </w:r>
                  <w:r>
                    <w:rPr>
                      <w:rFonts w:hint="eastAsia" w:ascii="宋体" w:hAnsi="宋体" w:cs="宋体"/>
                      <w:color w:val="000000"/>
                      <w:sz w:val="21"/>
                      <w:szCs w:val="21"/>
                    </w:rPr>
                    <w:t>分，最高得</w:t>
                  </w:r>
                  <w:r>
                    <w:rPr>
                      <w:rFonts w:hint="default" w:ascii="宋体" w:hAnsi="宋体" w:cs="宋体"/>
                      <w:color w:val="000000"/>
                      <w:sz w:val="21"/>
                      <w:szCs w:val="21"/>
                    </w:rPr>
                    <w:t>9</w:t>
                  </w:r>
                  <w:r>
                    <w:rPr>
                      <w:rFonts w:hint="eastAsia" w:ascii="宋体" w:hAnsi="宋体" w:cs="宋体"/>
                      <w:color w:val="000000"/>
                      <w:sz w:val="21"/>
                      <w:szCs w:val="21"/>
                    </w:rPr>
                    <w:t>分，未满足不得分。在此基础上，专家根据各供应商的具体响应内容按照以下的评审因素指标进一步评审：</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1、组织管理（需要包含人员管理制度说明、项目管理机制说明）；</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2、风险防控（需要对可能出现的风险情况进行预测并罗列，且对应说明切实可行的防控措施）；</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3、进度控制（需要分别对人员、时间等内容进行详细描述）；</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4、保密措施制度详细说明。</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满足以上四项加</w:t>
                  </w:r>
                  <w:r>
                    <w:rPr>
                      <w:rFonts w:hint="default" w:ascii="宋体" w:hAnsi="宋体" w:cs="宋体"/>
                      <w:color w:val="000000"/>
                      <w:sz w:val="21"/>
                      <w:szCs w:val="21"/>
                    </w:rPr>
                    <w:t>4</w:t>
                  </w:r>
                  <w:r>
                    <w:rPr>
                      <w:rFonts w:hint="eastAsia" w:ascii="宋体" w:hAnsi="宋体" w:cs="宋体"/>
                      <w:color w:val="000000"/>
                      <w:sz w:val="21"/>
                      <w:szCs w:val="21"/>
                    </w:rPr>
                    <w:t>分，满足以上三项加</w:t>
                  </w:r>
                  <w:r>
                    <w:rPr>
                      <w:rFonts w:hint="default" w:ascii="宋体" w:hAnsi="宋体" w:cs="宋体"/>
                      <w:color w:val="000000"/>
                      <w:sz w:val="21"/>
                      <w:szCs w:val="21"/>
                    </w:rPr>
                    <w:t>3</w:t>
                  </w:r>
                  <w:r>
                    <w:rPr>
                      <w:rFonts w:hint="eastAsia" w:ascii="宋体" w:hAnsi="宋体" w:cs="宋体"/>
                      <w:color w:val="000000"/>
                      <w:sz w:val="21"/>
                      <w:szCs w:val="21"/>
                    </w:rPr>
                    <w:t>分，满足任意两项加</w:t>
                  </w:r>
                  <w:r>
                    <w:rPr>
                      <w:rFonts w:hint="default" w:ascii="宋体" w:hAnsi="宋体" w:cs="宋体"/>
                      <w:color w:val="000000"/>
                      <w:sz w:val="21"/>
                      <w:szCs w:val="21"/>
                    </w:rPr>
                    <w:t>2</w:t>
                  </w:r>
                  <w:r>
                    <w:rPr>
                      <w:rFonts w:hint="eastAsia" w:ascii="宋体" w:hAnsi="宋体" w:cs="宋体"/>
                      <w:color w:val="000000"/>
                      <w:sz w:val="21"/>
                      <w:szCs w:val="21"/>
                    </w:rPr>
                    <w:t>分，满足任意一项加1分，其他情况不得分。</w:t>
                  </w:r>
                </w:p>
              </w:tc>
              <w:tc>
                <w:tcPr>
                  <w:tcW w:w="145" w:type="pct"/>
                  <w:tcBorders>
                    <w:right w:val="single" w:color="auto" w:sz="4" w:space="0"/>
                  </w:tcBorders>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cs="宋体"/>
                      <w:color w:val="000000"/>
                      <w:sz w:val="21"/>
                      <w:szCs w:val="21"/>
                      <w:lang w:eastAsia="zh-CN"/>
                    </w:rPr>
                  </w:pPr>
                  <w:r>
                    <w:rPr>
                      <w:rFonts w:hint="eastAsia" w:ascii="宋体" w:hAnsi="宋体" w:cs="宋体"/>
                      <w:color w:val="000000"/>
                      <w:sz w:val="21"/>
                      <w:szCs w:val="21"/>
                    </w:rPr>
                    <w:t>1</w:t>
                  </w:r>
                  <w:r>
                    <w:rPr>
                      <w:rFonts w:hint="default" w:ascii="宋体" w:hAnsi="宋体" w:cs="宋体"/>
                      <w:color w:val="000000"/>
                      <w:sz w:val="21"/>
                      <w:szCs w:val="21"/>
                      <w:lang w:eastAsia="zh-CN"/>
                    </w:rPr>
                    <w:t>3</w:t>
                  </w:r>
                </w:p>
              </w:tc>
              <w:tc>
                <w:tcPr>
                  <w:tcW w:w="121" w:type="pct"/>
                  <w:tcBorders>
                    <w:left w:val="single" w:color="auto" w:sz="4" w:space="0"/>
                  </w:tcBorders>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color w:val="000000"/>
                      <w:sz w:val="21"/>
                      <w:szCs w:val="21"/>
                      <w:lang w:eastAsia="zh-CN"/>
                    </w:rPr>
                  </w:pPr>
                  <w:r>
                    <w:rPr>
                      <w:rFonts w:hint="eastAsia" w:ascii="宋体" w:hAnsi="宋体" w:cs="宋体"/>
                      <w:color w:val="000000"/>
                      <w:sz w:val="21"/>
                      <w:szCs w:val="21"/>
                      <w:lang w:val="en-US" w:eastAsia="zh-CN"/>
                    </w:rPr>
                    <w:t>1</w:t>
                  </w:r>
                  <w:r>
                    <w:rPr>
                      <w:rFonts w:hint="default" w:ascii="宋体" w:hAnsi="宋体" w:cs="宋体"/>
                      <w:color w:val="000000"/>
                      <w:sz w:val="21"/>
                      <w:szCs w:val="21"/>
                      <w:lang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3"/>
                <w:wAfter w:w="2993" w:type="pct"/>
                <w:trHeight w:val="883" w:hRule="atLeast"/>
              </w:trPr>
              <w:tc>
                <w:tcPr>
                  <w:tcW w:w="112" w:type="pct"/>
                  <w:tcBorders>
                    <w:top w:val="single" w:color="auto" w:sz="4" w:space="0"/>
                    <w:bottom w:val="single" w:color="auto" w:sz="4" w:space="0"/>
                  </w:tcBorders>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3</w:t>
                  </w:r>
                </w:p>
              </w:tc>
              <w:tc>
                <w:tcPr>
                  <w:tcW w:w="248" w:type="pct"/>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项目重点难点分析及应对措施</w:t>
                  </w:r>
                </w:p>
              </w:tc>
              <w:tc>
                <w:tcPr>
                  <w:tcW w:w="1378" w:type="pct"/>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评审内容：</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投标人的方案包括但不限于：</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1、项目需求分析；</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2、项目重点难点分析；</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3、日常运维巡检、故障处理、平台运维管理优化等。</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（二）评分依据：满足以上任意一点得</w:t>
                  </w:r>
                  <w:r>
                    <w:rPr>
                      <w:rFonts w:hint="default" w:ascii="宋体" w:hAnsi="宋体" w:cs="宋体"/>
                      <w:color w:val="000000"/>
                      <w:sz w:val="21"/>
                      <w:szCs w:val="21"/>
                    </w:rPr>
                    <w:t>3</w:t>
                  </w:r>
                  <w:r>
                    <w:rPr>
                      <w:rFonts w:hint="eastAsia" w:ascii="宋体" w:hAnsi="宋体" w:cs="宋体"/>
                      <w:color w:val="000000"/>
                      <w:sz w:val="21"/>
                      <w:szCs w:val="21"/>
                    </w:rPr>
                    <w:t>分，最高得</w:t>
                  </w:r>
                  <w:r>
                    <w:rPr>
                      <w:rFonts w:hint="default" w:ascii="宋体" w:hAnsi="宋体" w:cs="宋体"/>
                      <w:color w:val="000000"/>
                      <w:sz w:val="21"/>
                      <w:szCs w:val="21"/>
                    </w:rPr>
                    <w:t>9</w:t>
                  </w:r>
                  <w:r>
                    <w:rPr>
                      <w:rFonts w:hint="eastAsia" w:ascii="宋体" w:hAnsi="宋体" w:cs="宋体"/>
                      <w:color w:val="000000"/>
                      <w:sz w:val="21"/>
                      <w:szCs w:val="21"/>
                    </w:rPr>
                    <w:t>分，未满足不得分。在此基础上，专家根据各供应商的具体响应内容按照以下的评审因素指标进一步评审：</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1、从前瞻性、系统性等角度研判重难点；</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2、从可实施、可操作的角度提出应对措施；</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3、多角度、有针对性地提出操作工具箱和指引；</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满足以上三项加</w:t>
                  </w:r>
                  <w:r>
                    <w:rPr>
                      <w:rFonts w:hint="default" w:ascii="宋体" w:hAnsi="宋体" w:cs="宋体"/>
                      <w:color w:val="000000"/>
                      <w:sz w:val="21"/>
                      <w:szCs w:val="21"/>
                    </w:rPr>
                    <w:t>3</w:t>
                  </w:r>
                  <w:r>
                    <w:rPr>
                      <w:rFonts w:hint="eastAsia" w:ascii="宋体" w:hAnsi="宋体" w:cs="宋体"/>
                      <w:color w:val="000000"/>
                      <w:sz w:val="21"/>
                      <w:szCs w:val="21"/>
                    </w:rPr>
                    <w:t>分，满足任意两项加</w:t>
                  </w:r>
                  <w:r>
                    <w:rPr>
                      <w:rFonts w:hint="default" w:ascii="宋体" w:hAnsi="宋体" w:cs="宋体"/>
                      <w:color w:val="000000"/>
                      <w:sz w:val="21"/>
                      <w:szCs w:val="21"/>
                    </w:rPr>
                    <w:t>2</w:t>
                  </w:r>
                  <w:r>
                    <w:rPr>
                      <w:rFonts w:hint="eastAsia" w:ascii="宋体" w:hAnsi="宋体" w:cs="宋体"/>
                      <w:color w:val="000000"/>
                      <w:sz w:val="21"/>
                      <w:szCs w:val="21"/>
                    </w:rPr>
                    <w:t>分，满足任意一项加1分，其他情况不得分。</w:t>
                  </w:r>
                </w:p>
              </w:tc>
              <w:tc>
                <w:tcPr>
                  <w:tcW w:w="145" w:type="pct"/>
                  <w:tcBorders>
                    <w:right w:val="single" w:color="auto" w:sz="4" w:space="0"/>
                  </w:tcBorders>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cs="宋体"/>
                      <w:color w:val="000000"/>
                      <w:sz w:val="21"/>
                      <w:szCs w:val="21"/>
                      <w:lang w:eastAsia="zh-CN"/>
                    </w:rPr>
                  </w:pPr>
                  <w:r>
                    <w:rPr>
                      <w:rFonts w:hint="default" w:ascii="宋体" w:hAnsi="宋体" w:cs="宋体"/>
                      <w:color w:val="000000"/>
                      <w:sz w:val="21"/>
                      <w:szCs w:val="21"/>
                    </w:rPr>
                    <w:t>12</w:t>
                  </w:r>
                </w:p>
              </w:tc>
              <w:tc>
                <w:tcPr>
                  <w:tcW w:w="121" w:type="pct"/>
                  <w:tcBorders>
                    <w:left w:val="single" w:color="auto" w:sz="4" w:space="0"/>
                  </w:tcBorders>
                  <w:shd w:val="clear" w:color="auto" w:fill="auto"/>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cs="宋体"/>
                      <w:color w:val="000000"/>
                      <w:sz w:val="21"/>
                      <w:szCs w:val="21"/>
                      <w:lang w:eastAsia="zh-CN"/>
                    </w:rPr>
                  </w:pPr>
                  <w:r>
                    <w:rPr>
                      <w:rFonts w:hint="eastAsia" w:ascii="宋体" w:hAnsi="宋体" w:cs="宋体"/>
                      <w:color w:val="000000"/>
                      <w:sz w:val="21"/>
                      <w:szCs w:val="21"/>
                      <w:lang w:val="en-US" w:eastAsia="zh-CN"/>
                    </w:rPr>
                    <w:t>1</w:t>
                  </w:r>
                  <w:r>
                    <w:rPr>
                      <w:rFonts w:hint="default" w:ascii="宋体" w:hAnsi="宋体" w:cs="宋体"/>
                      <w:color w:val="000000"/>
                      <w:sz w:val="21"/>
                      <w:szCs w:val="21"/>
                      <w:lang w:eastAsia="zh-CN"/>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5" w:hRule="atLeast"/>
              </w:trPr>
              <w:tc>
                <w:tcPr>
                  <w:tcW w:w="112" w:type="pct"/>
                  <w:tcBorders>
                    <w:top w:val="single" w:color="auto" w:sz="4" w:space="0"/>
                  </w:tcBorders>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三</w:t>
                  </w:r>
                </w:p>
              </w:tc>
              <w:tc>
                <w:tcPr>
                  <w:tcW w:w="1893" w:type="pct"/>
                  <w:gridSpan w:val="4"/>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商务部分</w:t>
                  </w:r>
                  <w:bookmarkStart w:id="0" w:name="_GoBack"/>
                  <w:bookmarkEnd w:id="0"/>
                  <w:r>
                    <w:rPr>
                      <w:rFonts w:hint="eastAsia" w:ascii="宋体" w:hAnsi="宋体" w:cs="宋体"/>
                      <w:color w:val="000000"/>
                      <w:sz w:val="21"/>
                      <w:szCs w:val="21"/>
                    </w:rPr>
                    <w:t>（4</w:t>
                  </w:r>
                  <w:r>
                    <w:rPr>
                      <w:rFonts w:hint="default" w:ascii="宋体" w:hAnsi="宋体" w:cs="宋体"/>
                      <w:color w:val="000000"/>
                      <w:sz w:val="21"/>
                      <w:szCs w:val="21"/>
                      <w:lang w:eastAsia="zh-CN"/>
                    </w:rPr>
                    <w:t>3</w:t>
                  </w:r>
                  <w:r>
                    <w:rPr>
                      <w:rFonts w:hint="eastAsia" w:ascii="宋体" w:hAnsi="宋体" w:cs="宋体"/>
                      <w:color w:val="000000"/>
                      <w:sz w:val="21"/>
                      <w:szCs w:val="21"/>
                    </w:rPr>
                    <w:t>分）</w:t>
                  </w:r>
                </w:p>
              </w:tc>
              <w:tc>
                <w:tcPr>
                  <w:tcW w:w="50" w:type="pct"/>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p>
              </w:tc>
              <w:tc>
                <w:tcPr>
                  <w:tcW w:w="1118" w:type="pct"/>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p>
              </w:tc>
              <w:tc>
                <w:tcPr>
                  <w:tcW w:w="1824" w:type="pct"/>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服务承诺（10 分）</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服务期满后主动办理交接手续，体现了供应商的职业操守和对项目的负责态度，能确保项目后续工作的顺利衔接；</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lang w:val="en-US" w:eastAsia="zh-CN"/>
                    </w:rPr>
                  </w:pPr>
                  <w:r>
                    <w:rPr>
                      <w:rFonts w:hint="eastAsia" w:ascii="宋体" w:hAnsi="宋体" w:cs="宋体"/>
                      <w:color w:val="000000"/>
                      <w:sz w:val="21"/>
                      <w:szCs w:val="21"/>
                    </w:rPr>
                    <w:t>对故障响应时间、设备运维、重保期后备维护服务专业技术人员配备、日常巡检、备品备件等各类管理及技术要求作出违约承诺，是对供应商服务质量和稳定性的有力约束。通过考察这些承诺，能确保供应商在项目实施过程中以及项目结束后，都能提供持续、可靠的服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2"/>
                <w:wAfter w:w="2942" w:type="pct"/>
                <w:trHeight w:val="883" w:hRule="atLeast"/>
              </w:trPr>
              <w:tc>
                <w:tcPr>
                  <w:tcW w:w="112" w:type="pct"/>
                  <w:tcBorders>
                    <w:top w:val="single" w:color="auto" w:sz="4" w:space="0"/>
                    <w:bottom w:val="single" w:color="auto" w:sz="4" w:space="0"/>
                  </w:tcBorders>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1</w:t>
                  </w:r>
                </w:p>
              </w:tc>
              <w:tc>
                <w:tcPr>
                  <w:tcW w:w="248" w:type="pct"/>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公司资质</w:t>
                  </w:r>
                </w:p>
              </w:tc>
              <w:tc>
                <w:tcPr>
                  <w:tcW w:w="1378" w:type="pct"/>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投标人通过相关认证情况，最高得</w:t>
                  </w:r>
                  <w:r>
                    <w:rPr>
                      <w:rFonts w:hint="default" w:ascii="宋体" w:hAnsi="宋体" w:cs="宋体"/>
                      <w:color w:val="000000"/>
                      <w:sz w:val="21"/>
                      <w:szCs w:val="21"/>
                      <w:lang w:eastAsia="zh-CN"/>
                    </w:rPr>
                    <w:t>10</w:t>
                  </w:r>
                  <w:r>
                    <w:rPr>
                      <w:rFonts w:hint="eastAsia" w:ascii="宋体" w:hAnsi="宋体" w:cs="宋体"/>
                      <w:color w:val="000000"/>
                      <w:sz w:val="21"/>
                      <w:szCs w:val="21"/>
                    </w:rPr>
                    <w:t>分：</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①具有质量管理体系认证证书的得</w:t>
                  </w:r>
                  <w:r>
                    <w:rPr>
                      <w:rFonts w:hint="default" w:ascii="宋体" w:hAnsi="宋体" w:cs="宋体"/>
                      <w:color w:val="000000"/>
                      <w:sz w:val="21"/>
                      <w:szCs w:val="21"/>
                    </w:rPr>
                    <w:t>5</w:t>
                  </w:r>
                  <w:r>
                    <w:rPr>
                      <w:rFonts w:hint="eastAsia" w:ascii="宋体" w:hAnsi="宋体" w:cs="宋体"/>
                      <w:color w:val="000000"/>
                      <w:sz w:val="21"/>
                      <w:szCs w:val="21"/>
                    </w:rPr>
                    <w:t>分；</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②具有信息安全管理体系认证证书的得</w:t>
                  </w:r>
                  <w:r>
                    <w:rPr>
                      <w:rFonts w:hint="default" w:ascii="宋体" w:hAnsi="宋体" w:cs="宋体"/>
                      <w:color w:val="000000"/>
                      <w:sz w:val="21"/>
                      <w:szCs w:val="21"/>
                    </w:rPr>
                    <w:t>5</w:t>
                  </w:r>
                  <w:r>
                    <w:rPr>
                      <w:rFonts w:hint="eastAsia" w:ascii="宋体" w:hAnsi="宋体" w:cs="宋体"/>
                      <w:color w:val="000000"/>
                      <w:sz w:val="21"/>
                      <w:szCs w:val="21"/>
                    </w:rPr>
                    <w:t>分；</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以上1-</w:t>
                  </w:r>
                  <w:r>
                    <w:rPr>
                      <w:rFonts w:hint="default" w:ascii="宋体" w:hAnsi="宋体" w:cs="宋体"/>
                      <w:color w:val="000000"/>
                      <w:sz w:val="21"/>
                      <w:szCs w:val="21"/>
                    </w:rPr>
                    <w:t>2</w:t>
                  </w:r>
                  <w:r>
                    <w:rPr>
                      <w:rFonts w:hint="eastAsia" w:ascii="宋体" w:hAnsi="宋体" w:cs="宋体"/>
                      <w:color w:val="000000"/>
                      <w:sz w:val="21"/>
                      <w:szCs w:val="21"/>
                    </w:rPr>
                    <w:t>项合计最高得</w:t>
                  </w:r>
                  <w:r>
                    <w:rPr>
                      <w:rFonts w:hint="default" w:ascii="宋体" w:hAnsi="宋体" w:cs="宋体"/>
                      <w:color w:val="000000"/>
                      <w:sz w:val="21"/>
                      <w:szCs w:val="21"/>
                    </w:rPr>
                    <w:t>10</w:t>
                  </w:r>
                  <w:r>
                    <w:rPr>
                      <w:rFonts w:hint="eastAsia" w:ascii="宋体" w:hAnsi="宋体" w:cs="宋体"/>
                      <w:color w:val="000000"/>
                      <w:sz w:val="21"/>
                      <w:szCs w:val="21"/>
                    </w:rPr>
                    <w:t>分。</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提供相关认证机构颁发的有效期内的认证证书扫描件，若证书上无法体现有效期，则还需提供认证证书网站公布的链接信息资料截图（网址以http://cx.cnca.cn/CertECloud/index/index/page网站公布为准），资料证书状态须显示“有效”。</w:t>
                  </w:r>
                </w:p>
                <w:p>
                  <w:pPr>
                    <w:pStyle w:val="2"/>
                    <w:keepNext w:val="0"/>
                    <w:keepLines/>
                    <w:pageBreakBefore w:val="0"/>
                    <w:widowControl w:val="0"/>
                    <w:kinsoku/>
                    <w:wordWrap/>
                    <w:overflowPunct/>
                    <w:topLinePunct w:val="0"/>
                    <w:autoSpaceDE/>
                    <w:autoSpaceDN/>
                    <w:bidi w:val="0"/>
                    <w:spacing w:after="0"/>
                    <w:textAlignment w:val="auto"/>
                    <w:rPr>
                      <w:rFonts w:hint="eastAsia"/>
                    </w:rPr>
                  </w:pPr>
                  <w:r>
                    <w:rPr>
                      <w:rFonts w:hint="eastAsia" w:ascii="宋体" w:hAnsi="宋体" w:eastAsia="宋体" w:cs="宋体"/>
                      <w:color w:val="000000"/>
                      <w:sz w:val="21"/>
                      <w:szCs w:val="21"/>
                    </w:rPr>
                    <w:t>如投标人成立时间不足三个月，可提供情况说明作为佐证材料，无需提供证书和认证信息查询截图亦视为满足评分要求。</w:t>
                  </w:r>
                </w:p>
              </w:tc>
              <w:tc>
                <w:tcPr>
                  <w:tcW w:w="145" w:type="pct"/>
                  <w:tcBorders>
                    <w:right w:val="single" w:color="auto" w:sz="4" w:space="0"/>
                  </w:tcBorders>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cs="宋体"/>
                      <w:color w:val="000000"/>
                      <w:sz w:val="21"/>
                      <w:szCs w:val="21"/>
                      <w:lang w:eastAsia="zh-CN"/>
                    </w:rPr>
                  </w:pPr>
                  <w:r>
                    <w:rPr>
                      <w:rFonts w:hint="default" w:ascii="宋体" w:hAnsi="宋体" w:cs="宋体"/>
                      <w:color w:val="000000"/>
                      <w:sz w:val="21"/>
                      <w:szCs w:val="21"/>
                      <w:lang w:eastAsia="zh-CN"/>
                    </w:rPr>
                    <w:t>10</w:t>
                  </w:r>
                </w:p>
              </w:tc>
              <w:tc>
                <w:tcPr>
                  <w:tcW w:w="172" w:type="pct"/>
                  <w:gridSpan w:val="2"/>
                  <w:tcBorders>
                    <w:left w:val="single" w:color="auto" w:sz="4" w:space="0"/>
                  </w:tcBorders>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cs="宋体"/>
                      <w:color w:val="000000"/>
                      <w:sz w:val="21"/>
                      <w:szCs w:val="21"/>
                      <w:lang w:eastAsia="zh-CN"/>
                    </w:rPr>
                  </w:pPr>
                  <w:r>
                    <w:rPr>
                      <w:rFonts w:hint="default" w:ascii="宋体" w:hAnsi="宋体" w:cs="宋体"/>
                      <w:color w:val="000000"/>
                      <w:sz w:val="21"/>
                      <w:szCs w:val="21"/>
                      <w:lang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3"/>
                <w:wAfter w:w="2993" w:type="pct"/>
                <w:trHeight w:val="883" w:hRule="atLeast"/>
              </w:trPr>
              <w:tc>
                <w:tcPr>
                  <w:tcW w:w="112" w:type="pct"/>
                  <w:tcBorders>
                    <w:top w:val="single" w:color="auto" w:sz="4" w:space="0"/>
                    <w:bottom w:val="single" w:color="auto" w:sz="4" w:space="0"/>
                  </w:tcBorders>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2</w:t>
                  </w:r>
                </w:p>
              </w:tc>
              <w:tc>
                <w:tcPr>
                  <w:tcW w:w="248" w:type="pct"/>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项目负责人（仅限1人）情况</w:t>
                  </w:r>
                </w:p>
              </w:tc>
              <w:tc>
                <w:tcPr>
                  <w:tcW w:w="1378" w:type="pct"/>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（一）评审内容：</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1"/>
                      <w:szCs w:val="21"/>
                    </w:rPr>
                  </w:pPr>
                  <w:r>
                    <w:rPr>
                      <w:rFonts w:hint="eastAsia" w:ascii="宋体" w:hAnsi="宋体" w:cs="宋体"/>
                      <w:color w:val="000000"/>
                      <w:sz w:val="21"/>
                      <w:szCs w:val="21"/>
                    </w:rPr>
                    <w:t>拟安排本项</w:t>
                  </w:r>
                  <w:r>
                    <w:rPr>
                      <w:rFonts w:hint="eastAsia" w:ascii="宋体" w:hAnsi="宋体" w:eastAsia="宋体" w:cs="宋体"/>
                      <w:color w:val="000000"/>
                      <w:sz w:val="21"/>
                      <w:szCs w:val="21"/>
                    </w:rPr>
                    <w:t>目的负责人须为投标人自有员工：</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1、具有计算机类、电子信息类专业本科及以上学历；</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2、具有项目管理师证书（包括：系统集成项目管理师、信息系统项目管理师、信创集成项目管理师）；</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3、具有中国网络安全审查认证和市场监管大数据中心（原：中国网络安全审查技术与认证中心）或中国信息安全测评中心颁发的数据安全相关证书；</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4、具有中国网络安全审查认证和市场监管大数据中心（原：中国网络安全审查技术与认证中心）颁发的CISAW证书或中国信息安全测评中心颁发的CISP证书。</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每提供一个证书得2</w:t>
                  </w:r>
                  <w:r>
                    <w:rPr>
                      <w:rFonts w:hint="default" w:ascii="宋体" w:hAnsi="宋体" w:cs="宋体"/>
                      <w:color w:val="000000"/>
                      <w:sz w:val="21"/>
                      <w:szCs w:val="21"/>
                    </w:rPr>
                    <w:t>.</w:t>
                  </w:r>
                  <w:r>
                    <w:rPr>
                      <w:rFonts w:hint="eastAsia" w:ascii="宋体" w:hAnsi="宋体" w:cs="宋体"/>
                      <w:color w:val="000000"/>
                      <w:sz w:val="21"/>
                      <w:szCs w:val="21"/>
                      <w:lang w:val="en-US" w:eastAsia="zh-CN"/>
                    </w:rPr>
                    <w:t>5</w:t>
                  </w:r>
                  <w:r>
                    <w:rPr>
                      <w:rFonts w:hint="eastAsia" w:ascii="宋体" w:hAnsi="宋体" w:cs="宋体"/>
                      <w:color w:val="000000"/>
                      <w:sz w:val="21"/>
                      <w:szCs w:val="21"/>
                    </w:rPr>
                    <w:t>分，同时具备以上4项有效证书得</w:t>
                  </w:r>
                  <w:r>
                    <w:rPr>
                      <w:rFonts w:hint="eastAsia" w:ascii="宋体" w:hAnsi="宋体" w:cs="宋体"/>
                      <w:color w:val="000000"/>
                      <w:sz w:val="21"/>
                      <w:szCs w:val="21"/>
                      <w:lang w:val="en-US" w:eastAsia="zh-CN"/>
                    </w:rPr>
                    <w:t>10</w:t>
                  </w:r>
                  <w:r>
                    <w:rPr>
                      <w:rFonts w:hint="eastAsia" w:ascii="宋体" w:hAnsi="宋体" w:cs="宋体"/>
                      <w:color w:val="000000"/>
                      <w:sz w:val="21"/>
                      <w:szCs w:val="21"/>
                    </w:rPr>
                    <w:t>分。</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（二）评审依据：</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提供相关证书扫描件；</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同时提供该人员近一个月在本公司缴纳且载有社保部门公章（或税务部门公章）的社保缴交证明材料（如开标日上一个月的社保材料因社保部门（或税务部门）原因暂时无法取得，则可以往前顺延一个月；如投标人为新成立企业且成立时间不足三个月可提供加盖公章的情况说明或者证明材料亦视为符合）。未按要求提供相关材料或不清晰导致无法判断内容的不得分，原件备查。</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highlight w:val="none"/>
                      <w:lang w:val="en-US" w:eastAsia="zh-CN"/>
                    </w:rPr>
                    <w:t>3.学历证书以及学信网查询记录。对于较早颁发的学历、学位证书，学信网无法查询的，除要求提供证书扫描件，还需提供其他佐证材料（如毕业院校、人社部门等颁发机构或监管机构等单位出具的证明），海外留学（含港澳台）人员学历无法通过学信网站查询，应当提供教育部留学服务中心出具的国外学历认证证书以及教育部留学服务中心官网查询截图。</w:t>
                  </w:r>
                </w:p>
              </w:tc>
              <w:tc>
                <w:tcPr>
                  <w:tcW w:w="145" w:type="pct"/>
                  <w:tcBorders>
                    <w:right w:val="single" w:color="auto" w:sz="4" w:space="0"/>
                  </w:tcBorders>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121" w:type="pct"/>
                  <w:tcBorders>
                    <w:left w:val="single" w:color="auto" w:sz="4" w:space="0"/>
                  </w:tcBorders>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3"/>
                <w:wAfter w:w="2993" w:type="pct"/>
                <w:trHeight w:val="883" w:hRule="atLeast"/>
              </w:trPr>
              <w:tc>
                <w:tcPr>
                  <w:tcW w:w="112" w:type="pct"/>
                  <w:tcBorders>
                    <w:top w:val="single" w:color="auto" w:sz="4" w:space="0"/>
                    <w:bottom w:val="single" w:color="auto" w:sz="4" w:space="0"/>
                  </w:tcBorders>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3</w:t>
                  </w:r>
                </w:p>
              </w:tc>
              <w:tc>
                <w:tcPr>
                  <w:tcW w:w="248" w:type="pct"/>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拟安排的项目主要团队成员（主要技术人员）情况（项目负责人除外）</w:t>
                  </w:r>
                </w:p>
              </w:tc>
              <w:tc>
                <w:tcPr>
                  <w:tcW w:w="1378" w:type="pct"/>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（一）评审内容：</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投标人拟安排本项目的项目组人员须为自有员工：</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①团队成员具有计算机技术与软件专业高级职称证书，每个得3分；中级职称证书，每个得</w:t>
                  </w:r>
                  <w:r>
                    <w:rPr>
                      <w:rFonts w:hint="eastAsia" w:ascii="宋体" w:hAnsi="宋体" w:cs="宋体"/>
                      <w:color w:val="000000"/>
                      <w:sz w:val="21"/>
                      <w:szCs w:val="21"/>
                      <w:lang w:val="en-US" w:eastAsia="zh-CN"/>
                    </w:rPr>
                    <w:t>2</w:t>
                  </w:r>
                  <w:r>
                    <w:rPr>
                      <w:rFonts w:hint="eastAsia" w:ascii="宋体" w:hAnsi="宋体" w:cs="宋体"/>
                      <w:color w:val="000000"/>
                      <w:sz w:val="21"/>
                      <w:szCs w:val="21"/>
                    </w:rPr>
                    <w:t>分；最高得6分；</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②团队成员具有中国网络安全审查认证和市场监管大数据中心（原：中国网络安全审查技术与认证中心）或中国信息安全测评中心颁发的数据安全相关证书，每个得4分，最高得4分；</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（二）评审依据：</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提供相关人员相关证书扫描件；同时提供相关人员近一个月在本公司缴纳且载有社保部门公章（或税务部门公章）的社保缴交证明材料（如开标日上一个月的社保材料因社保部门（或税务部门）原因暂时无法取得，则可以往前顺延一个月）。未按要求提供相关材料或不清晰导致无法判断内容的不得分，原件备查。</w:t>
                  </w:r>
                </w:p>
              </w:tc>
              <w:tc>
                <w:tcPr>
                  <w:tcW w:w="145" w:type="pct"/>
                  <w:tcBorders>
                    <w:right w:val="single" w:color="auto" w:sz="4" w:space="0"/>
                  </w:tcBorders>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10</w:t>
                  </w:r>
                </w:p>
              </w:tc>
              <w:tc>
                <w:tcPr>
                  <w:tcW w:w="121" w:type="pct"/>
                  <w:tcBorders>
                    <w:left w:val="single" w:color="auto" w:sz="4" w:space="0"/>
                  </w:tcBorders>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cs="宋体"/>
                      <w:color w:val="000000"/>
                      <w:sz w:val="21"/>
                      <w:szCs w:val="21"/>
                      <w:lang w:val="en-US"/>
                    </w:rPr>
                  </w:pPr>
                  <w:r>
                    <w:rPr>
                      <w:rFonts w:hint="eastAsia" w:ascii="宋体" w:hAnsi="宋体" w:cs="宋体"/>
                      <w:color w:val="000000"/>
                      <w:sz w:val="21"/>
                      <w:szCs w:val="21"/>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2"/>
                <w:wAfter w:w="2942" w:type="pct"/>
                <w:trHeight w:val="883" w:hRule="atLeast"/>
              </w:trPr>
              <w:tc>
                <w:tcPr>
                  <w:tcW w:w="112" w:type="pct"/>
                  <w:tcBorders>
                    <w:top w:val="single" w:color="auto" w:sz="4" w:space="0"/>
                    <w:bottom w:val="single" w:color="auto" w:sz="4" w:space="0"/>
                  </w:tcBorders>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4</w:t>
                  </w:r>
                </w:p>
              </w:tc>
              <w:tc>
                <w:tcPr>
                  <w:tcW w:w="248" w:type="pct"/>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同类项目业绩</w:t>
                  </w:r>
                </w:p>
              </w:tc>
              <w:tc>
                <w:tcPr>
                  <w:tcW w:w="1378" w:type="pct"/>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考察投标人</w:t>
                  </w:r>
                  <w:r>
                    <w:rPr>
                      <w:rFonts w:hint="eastAsia" w:ascii="宋体" w:hAnsi="宋体" w:cs="宋体"/>
                      <w:color w:val="000000"/>
                      <w:sz w:val="21"/>
                      <w:szCs w:val="21"/>
                      <w:lang w:val="en-US" w:eastAsia="zh-CN"/>
                    </w:rPr>
                    <w:t>2023</w:t>
                  </w:r>
                  <w:r>
                    <w:rPr>
                      <w:rFonts w:hint="eastAsia" w:ascii="宋体" w:hAnsi="宋体" w:cs="宋体"/>
                      <w:color w:val="000000"/>
                      <w:sz w:val="21"/>
                      <w:szCs w:val="21"/>
                    </w:rPr>
                    <w:t>年1月1日至本项目投标截止之日）承担软件系统运维服务类项目业绩：每提供一个得</w:t>
                  </w:r>
                  <w:r>
                    <w:rPr>
                      <w:rFonts w:hint="default" w:ascii="宋体" w:hAnsi="宋体" w:cs="宋体"/>
                      <w:color w:val="000000"/>
                      <w:sz w:val="21"/>
                      <w:szCs w:val="21"/>
                    </w:rPr>
                    <w:t>2</w:t>
                  </w:r>
                  <w:r>
                    <w:rPr>
                      <w:rFonts w:hint="eastAsia" w:ascii="宋体" w:hAnsi="宋体" w:cs="宋体"/>
                      <w:color w:val="000000"/>
                      <w:sz w:val="21"/>
                      <w:szCs w:val="21"/>
                    </w:rPr>
                    <w:t>分，最高得</w:t>
                  </w:r>
                  <w:r>
                    <w:rPr>
                      <w:rFonts w:hint="default" w:ascii="宋体" w:hAnsi="宋体" w:cs="宋体"/>
                      <w:color w:val="000000"/>
                      <w:sz w:val="21"/>
                      <w:szCs w:val="21"/>
                      <w:lang w:eastAsia="zh-CN"/>
                    </w:rPr>
                    <w:t>8</w:t>
                  </w:r>
                  <w:r>
                    <w:rPr>
                      <w:rFonts w:hint="eastAsia" w:ascii="宋体" w:hAnsi="宋体" w:cs="宋体"/>
                      <w:color w:val="000000"/>
                      <w:sz w:val="21"/>
                      <w:szCs w:val="21"/>
                    </w:rPr>
                    <w:t xml:space="preserve">分； </w:t>
                  </w:r>
                  <w:r>
                    <w:rPr>
                      <w:rFonts w:hint="eastAsia" w:ascii="宋体" w:hAnsi="宋体" w:cs="宋体"/>
                      <w:color w:val="000000"/>
                      <w:sz w:val="21"/>
                      <w:szCs w:val="21"/>
                    </w:rPr>
                    <w:br w:type="textWrapping"/>
                  </w:r>
                  <w:r>
                    <w:rPr>
                      <w:rFonts w:hint="eastAsia" w:ascii="宋体" w:hAnsi="宋体" w:cs="宋体"/>
                      <w:color w:val="000000"/>
                      <w:sz w:val="21"/>
                      <w:szCs w:val="21"/>
                    </w:rPr>
                    <w:t>1.提供合同关键信息（含签订合同双方的单位名称、合同项目名称和签订双方的落款盖章、签订日期等关键信息）作为得分依据。</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2.以上资料均需提供复印件。未提供证明资料或专家无法凭所提供资料判断是否得分的情况，一律作不得分处理。</w:t>
                  </w:r>
                </w:p>
              </w:tc>
              <w:tc>
                <w:tcPr>
                  <w:tcW w:w="145" w:type="pct"/>
                  <w:tcBorders>
                    <w:right w:val="single" w:color="auto" w:sz="4" w:space="0"/>
                  </w:tcBorders>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color w:val="000000"/>
                      <w:sz w:val="21"/>
                      <w:szCs w:val="21"/>
                      <w:lang w:eastAsia="zh-CN"/>
                    </w:rPr>
                  </w:pPr>
                  <w:r>
                    <w:rPr>
                      <w:rFonts w:hint="default" w:ascii="宋体" w:hAnsi="宋体" w:cs="宋体"/>
                      <w:color w:val="000000"/>
                      <w:sz w:val="21"/>
                      <w:szCs w:val="21"/>
                      <w:lang w:eastAsia="zh-CN"/>
                    </w:rPr>
                    <w:t>8</w:t>
                  </w:r>
                </w:p>
              </w:tc>
              <w:tc>
                <w:tcPr>
                  <w:tcW w:w="172" w:type="pct"/>
                  <w:gridSpan w:val="2"/>
                  <w:tcBorders>
                    <w:left w:val="single" w:color="auto" w:sz="4" w:space="0"/>
                  </w:tcBorders>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color w:val="000000"/>
                      <w:sz w:val="21"/>
                      <w:szCs w:val="21"/>
                      <w:lang w:eastAsia="zh-CN"/>
                    </w:rPr>
                  </w:pPr>
                  <w:r>
                    <w:rPr>
                      <w:rFonts w:hint="default" w:ascii="宋体" w:hAnsi="宋体" w:cs="宋体"/>
                      <w:color w:val="000000"/>
                      <w:sz w:val="21"/>
                      <w:szCs w:val="21"/>
                      <w:lang w:eastAsia="zh-CN"/>
                    </w:rPr>
                    <w:t>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2"/>
                <w:wAfter w:w="2942" w:type="pct"/>
                <w:trHeight w:val="381" w:hRule="atLeast"/>
              </w:trPr>
              <w:tc>
                <w:tcPr>
                  <w:tcW w:w="112" w:type="pct"/>
                  <w:tcBorders>
                    <w:top w:val="single" w:color="auto" w:sz="4" w:space="0"/>
                  </w:tcBorders>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5</w:t>
                  </w:r>
                </w:p>
              </w:tc>
              <w:tc>
                <w:tcPr>
                  <w:tcW w:w="248" w:type="pct"/>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诚信情况</w:t>
                  </w:r>
                </w:p>
              </w:tc>
              <w:tc>
                <w:tcPr>
                  <w:tcW w:w="1378" w:type="pct"/>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（一）评分内容</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w:t>
                  </w:r>
                  <w:r>
                    <w:rPr>
                      <w:rFonts w:hint="default" w:ascii="宋体" w:hAnsi="宋体" w:cs="宋体"/>
                      <w:color w:val="000000"/>
                      <w:sz w:val="21"/>
                      <w:szCs w:val="21"/>
                    </w:rPr>
                    <w:t>5</w:t>
                  </w:r>
                  <w:r>
                    <w:rPr>
                      <w:rFonts w:hint="eastAsia" w:ascii="宋体" w:hAnsi="宋体" w:cs="宋体"/>
                      <w:color w:val="000000"/>
                      <w:sz w:val="21"/>
                      <w:szCs w:val="21"/>
                    </w:rPr>
                    <w:t>分。投标人无需提供任何证明材料，由工作人员查询后向评审委员会提供相关信息。</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（二）评分依据：</w:t>
                  </w:r>
                </w:p>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查询渠道：通过“信用中国”（www.creditchina.gov.cn，下载信用信息报告）、“中国政府采购网”（www.ccgp.gov.cn）以及“深圳市政府采购监管网”（http://zfcg.sz.gov.cn）查询供应商信用信息，信用信息以开标当日的查询结果为准。</w:t>
                  </w:r>
                </w:p>
              </w:tc>
              <w:tc>
                <w:tcPr>
                  <w:tcW w:w="145" w:type="pct"/>
                  <w:tcBorders>
                    <w:right w:val="single" w:color="auto" w:sz="4" w:space="0"/>
                  </w:tcBorders>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5</w:t>
                  </w:r>
                </w:p>
              </w:tc>
              <w:tc>
                <w:tcPr>
                  <w:tcW w:w="172" w:type="pct"/>
                  <w:gridSpan w:val="2"/>
                  <w:tcBorders>
                    <w:left w:val="single" w:color="auto" w:sz="4" w:space="0"/>
                  </w:tcBorders>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2"/>
                <w:wAfter w:w="2942" w:type="pct"/>
                <w:trHeight w:val="523" w:hRule="atLeast"/>
              </w:trPr>
              <w:tc>
                <w:tcPr>
                  <w:tcW w:w="1739" w:type="pct"/>
                  <w:gridSpan w:val="3"/>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合计</w:t>
                  </w:r>
                </w:p>
              </w:tc>
              <w:tc>
                <w:tcPr>
                  <w:tcW w:w="145" w:type="pct"/>
                  <w:tcBorders>
                    <w:right w:val="single" w:color="auto" w:sz="4" w:space="0"/>
                  </w:tcBorders>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100</w:t>
                  </w:r>
                </w:p>
              </w:tc>
              <w:tc>
                <w:tcPr>
                  <w:tcW w:w="172" w:type="pct"/>
                  <w:gridSpan w:val="2"/>
                  <w:tcBorders>
                    <w:left w:val="single" w:color="auto" w:sz="4" w:space="0"/>
                  </w:tcBorders>
                  <w:vAlign w:val="center"/>
                </w:tcPr>
                <w:p>
                  <w:pPr>
                    <w:keepNext w:val="0"/>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100</w:t>
                  </w:r>
                </w:p>
              </w:tc>
            </w:tr>
          </w:tbl>
          <w:p>
            <w:pPr>
              <w:adjustRightInd w:val="0"/>
              <w:snapToGrid w:val="0"/>
              <w:spacing w:line="360" w:lineRule="auto"/>
              <w:rPr>
                <w:rFonts w:ascii="宋体" w:hAnsi="宋体" w:cs="宋体"/>
                <w:color w:val="000000"/>
                <w:sz w:val="21"/>
                <w:szCs w:val="21"/>
              </w:rPr>
            </w:pPr>
          </w:p>
        </w:tc>
      </w:tr>
    </w:tbl>
    <w:p>
      <w:pPr>
        <w:pStyle w:val="4"/>
        <w:ind w:firstLine="0" w:firstLineChars="0"/>
        <w:rPr>
          <w:rFonts w:ascii="黑体" w:hAnsi="黑体" w:eastAsia="黑体" w:cs="黑体"/>
          <w:sz w:val="32"/>
          <w:szCs w:val="32"/>
          <w:lang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00"/>
    <w:family w:val="modern"/>
    <w:pitch w:val="default"/>
    <w:sig w:usb0="00000000" w:usb1="00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5E73F19"/>
    <w:rsid w:val="4A1947CF"/>
    <w:rsid w:val="F393BB60"/>
    <w:rsid w:val="F8FD8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4"/>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line="360" w:lineRule="auto"/>
    </w:pPr>
    <w:rPr>
      <w:sz w:val="24"/>
    </w:rPr>
  </w:style>
  <w:style w:type="paragraph" w:styleId="4">
    <w:name w:val="Normal Indent"/>
    <w:basedOn w:val="1"/>
    <w:next w:val="2"/>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马恒珠</cp:lastModifiedBy>
  <dcterms:modified xsi:type="dcterms:W3CDTF">2026-06-12T16:18:48Z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