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</w:rPr>
        <w:t>附件1</w:t>
      </w:r>
    </w:p>
    <w:p>
      <w:pPr>
        <w:jc w:val="center"/>
        <w:outlineLvl w:val="0"/>
        <w:rPr>
          <w:color w:val="000000"/>
        </w:rPr>
      </w:pPr>
      <w:r>
        <w:rPr>
          <w:rStyle w:val="7"/>
          <w:rFonts w:hint="eastAsia"/>
          <w:color w:val="000000"/>
        </w:rPr>
        <w:t>评分细则表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18"/>
        <w:gridCol w:w="1013"/>
        <w:gridCol w:w="5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评审因素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权重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企业资质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评审内容：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在《中国国际招标网》注册或具有国际招标资格证书的招标代理机构得5分。未提供者不得分。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证明材料：提供《中国国际招标网》网站截图或国际招标资格证书扫描件或复印件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开评标场地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评审内容：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在深圳市内开评标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情况，每具备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1间得1分，最高不超过10分。未提供者不得分。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须同时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提供政府采购监管网截图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开评标室照片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产权证明或租赁合同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人员配备情况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评审内容：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内具备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专职人员数量30人或以上的得10分，15-29人的得5分，14人或以下的得3分。未提供者不得分。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需提供深圳市政府采购监管网截图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提供通过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缴纳的近三个月的任意一个月的社保证明作为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员工的证明依据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，加盖投标人公章。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评审内容: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1.拟派本项目负责人需具有本科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以上学历，不满足或未提供，此项不得分。</w:t>
            </w:r>
          </w:p>
          <w:p>
            <w:pPr>
              <w:tabs>
                <w:tab w:val="left" w:pos="1431"/>
              </w:tabs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2.拟派本项目负责人具有相关工作担任项目负责人的经验，每项得1分，最高不超过5分。未提供者不得分。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投标人提供学历证书及劳动合同复印件及相关经验的证明材料（如项目合同或甲方单位出具的证明材料）并加盖投标人公章，未按要求提供或提供不清晰导致评委无法判断的不得分。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同类项目业绩情况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评审内容：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年1月1日至本项目开标之日（以合同签订时间为准），投标人承接行政机关或事业单位政府采购（项目）年度代理合同，提供1项得1分，最高得15分；同一单位续签合同不重复计分。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证明材料：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投标人须提供合同关键页复印件加盖投标人公章，未按要求提供或提供不清晰导致评委无法判断的不得分。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信息化建设情况（深圳）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1431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评审内容：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在深具有电子评标系统得5分,没有不得分；</w:t>
            </w:r>
          </w:p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证明材料：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需提供相关证明材料加盖投标人公章。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项目管理制度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根据各投标人拟定的项目管理制度：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优评分标准：内容合理性强；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良评分标准：内容合理性较强；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中评分标准：内容合理性一般；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差评分标准：内容合理性较差。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分档评分：评价为优得15分；评价为良得10分；评价为中得5分；评价为差不得分，未提供或提供不清晰导致评委无法判断的不得分。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项目实施方案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20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根据各投标人拟定的项目实施方案：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优评分标准：内容合理性强；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良评分标准：内容合理性较强；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中评分标准：内容合理性一般；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差评分标准：内容合理性较差。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分档评分：评价为优得20分；评价为良得15分；评价为中得10分；评价为差不得分，未提供或提供不清晰导致评委无法判断的不得分。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tabs>
                <w:tab w:val="left" w:pos="1431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质疑与投诉处理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</w:rPr>
              <w:t>15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根据各投标人拟定的项目妥善处理代理招标项目。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优评分标准：收到的异议、质疑、投诉，处理方案全面、详实，有针对性，操作性强；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良评分标准：内容合理性较强；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中评分标准：内容合理性一般；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差评分标准：内容合理性较差。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分档评分：评价为优得15分；评价为良得10分；评价为中得5分；评价为差不得分，未提供或提供不清晰导致评委无法判断的不得分。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7D03"/>
    <w:rsid w:val="50FD0ADC"/>
    <w:rsid w:val="6587490A"/>
    <w:rsid w:val="6EE770A3"/>
    <w:rsid w:val="712C7D03"/>
    <w:rsid w:val="7BAC4449"/>
    <w:rsid w:val="7D18B896"/>
    <w:rsid w:val="7EF3A24D"/>
    <w:rsid w:val="BFFD45C3"/>
    <w:rsid w:val="DF913FD6"/>
    <w:rsid w:val="FDFB3E16"/>
    <w:rsid w:val="FF7A6032"/>
    <w:rsid w:val="FFBFA8D4"/>
    <w:rsid w:val="FFDB9AF5"/>
    <w:rsid w:val="FF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 w:val="0"/>
      <w:keepLines w:val="0"/>
      <w:widowControl/>
      <w:shd w:val="clear" w:color="auto" w:fill="FFFFFF"/>
      <w:tabs>
        <w:tab w:val="left" w:pos="426"/>
      </w:tabs>
      <w:adjustRightInd w:val="0"/>
      <w:snapToGrid w:val="0"/>
      <w:spacing w:before="340" w:after="330" w:line="300" w:lineRule="auto"/>
      <w:jc w:val="center"/>
      <w:outlineLvl w:val="0"/>
    </w:pPr>
    <w:rPr>
      <w:rFonts w:ascii="宋体" w:hAnsi="宋体" w:eastAsia="仿宋"/>
      <w:spacing w:val="0"/>
      <w:kern w:val="44"/>
      <w:sz w:val="44"/>
      <w:szCs w:val="28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customStyle="1" w:styleId="7">
    <w:name w:val="标题 1 Char"/>
    <w:link w:val="2"/>
    <w:qFormat/>
    <w:uiPriority w:val="0"/>
    <w:rPr>
      <w:rFonts w:ascii="宋体" w:hAnsi="宋体" w:eastAsia="仿宋"/>
      <w:spacing w:val="0"/>
      <w:kern w:val="44"/>
      <w:sz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1239</Characters>
  <Lines>0</Lines>
  <Paragraphs>0</Paragraphs>
  <TotalTime>0</TotalTime>
  <ScaleCrop>false</ScaleCrop>
  <LinksUpToDate>false</LinksUpToDate>
  <CharactersWithSpaces>1244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2021-01-01T19:49:00Z</dcterms:created>
  <dc:creator>k</dc:creator>
  <cp:lastModifiedBy>鄭錦婷</cp:lastModifiedBy>
  <dcterms:modified xsi:type="dcterms:W3CDTF">2026-06-10T16:56:19Z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eyJoZGlkIjoiMTg5OTJlOTg2YzhmNDg5ZjdhZDJkNjBkMmU0N2RkZjIiLCJ1c2VySWQiOiIyOTk3ODExMzMifQ==</vt:lpwstr>
  </property>
  <property fmtid="{D5CDD505-2E9C-101B-9397-08002B2CF9AE}" pid="4" name="ICV">
    <vt:lpwstr>72513CA081D9E73EB326296A57FEEF67</vt:lpwstr>
  </property>
</Properties>
</file>