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1316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3"/>
        <w:numPr>
          <w:ilvl w:val="-1"/>
          <w:numId w:val="0"/>
        </w:numPr>
        <w:spacing w:line="240" w:lineRule="auto"/>
        <w:ind w:left="0" w:firstLine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cs="宋体"/>
          <w:spacing w:val="4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8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7"/>
              <w:spacing w:before="181" w:line="20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color w:val="auto"/>
              </w:rPr>
              <w:t>接待大厅主电缆更换工程设计</w:t>
            </w:r>
            <w:r>
              <w:rPr>
                <w:rFonts w:hint="default" w:ascii="宋体" w:hAnsi="宋体" w:cs="宋体"/>
                <w:color w:val="auto"/>
              </w:rPr>
              <w:t>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7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7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7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7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7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7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7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7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如未有相关情况，请在相应栏填写“无”。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应如实申报本单位控股及管理关系人员信息，如存在隐瞒真实情况，提供虚假资料的，经查实，主管部门将依据《深圳经济特区政府采购条例》第五十七条的规定进行处罚。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B02FD"/>
    <w:rsid w:val="3DD738DE"/>
    <w:rsid w:val="7BFF65AD"/>
    <w:rsid w:val="7FF1A1D7"/>
    <w:rsid w:val="F73717D9"/>
    <w:rsid w:val="FAFDA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2026-01-06T15:24:00Z</dcterms:created>
  <dc:creator>Administrator</dc:creator>
  <cp:lastModifiedBy>马恒珠</cp:lastModifiedBy>
  <dcterms:modified xsi:type="dcterms:W3CDTF">2026-01-20T09:37:14Z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CD7774F863BF4416964BB0D0C7968CED_12</vt:lpwstr>
  </property>
</Properties>
</file>