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方正小标宋简体" w:eastAsia="方正小标宋简体" w:cs="方正小标宋简体"/>
          <w:bCs/>
          <w:sz w:val="44"/>
          <w:szCs w:val="44"/>
        </w:rPr>
      </w:pPr>
      <w:r>
        <w:rPr>
          <w:rFonts w:hint="eastAsia" w:ascii="方正黑体_GBK" w:hAnsi="方正黑体_GBK" w:eastAsia="方正黑体_GBK" w:cs="方正黑体_GBK"/>
          <w:bCs/>
          <w:sz w:val="32"/>
          <w:szCs w:val="32"/>
          <w:lang w:eastAsia="zh-CN"/>
        </w:rPr>
        <w:t>附件</w:t>
      </w:r>
      <w:r>
        <w:rPr>
          <w:rFonts w:hint="eastAsia" w:ascii="方正黑体_GBK" w:hAnsi="方正黑体_GBK" w:eastAsia="方正黑体_GBK" w:cs="方正黑体_GBK"/>
          <w:bCs/>
          <w:sz w:val="32"/>
          <w:szCs w:val="32"/>
          <w:lang w:val="en-US" w:eastAsia="zh-CN"/>
        </w:rPr>
        <w:t>1</w:t>
      </w:r>
    </w:p>
    <w:p>
      <w:pPr>
        <w:jc w:val="center"/>
        <w:rPr>
          <w:rFonts w:hint="eastAsia" w:ascii="方正仿宋_GB2312" w:hAnsi="方正仿宋_GB2312" w:eastAsia="方正仿宋_GB2312" w:cs="方正仿宋_GB2312"/>
          <w:bCs/>
          <w:sz w:val="44"/>
          <w:szCs w:val="44"/>
        </w:rPr>
      </w:pPr>
      <w:r>
        <w:rPr>
          <w:rFonts w:hint="eastAsia" w:ascii="方正仿宋_GB2312" w:hAnsi="方正仿宋_GB2312" w:eastAsia="方正仿宋_GB2312" w:cs="方正仿宋_GB2312"/>
          <w:bCs/>
          <w:sz w:val="44"/>
          <w:szCs w:val="44"/>
        </w:rPr>
        <w:t>评标细则</w:t>
      </w:r>
    </w:p>
    <w:p>
      <w:pPr>
        <w:spacing w:line="360" w:lineRule="exact"/>
        <w:rPr>
          <w:rFonts w:hint="eastAsia" w:ascii="宋体" w:hAnsi="宋体" w:cs="宋体"/>
          <w:sz w:val="22"/>
          <w:szCs w:val="22"/>
        </w:rPr>
      </w:pPr>
    </w:p>
    <w:p>
      <w:pPr>
        <w:spacing w:line="360" w:lineRule="exact"/>
        <w:rPr>
          <w:rFonts w:hint="eastAsia" w:ascii="宋体" w:hAnsi="宋体" w:cs="宋体"/>
          <w:sz w:val="22"/>
          <w:szCs w:val="22"/>
        </w:rPr>
      </w:pPr>
      <w:r>
        <w:rPr>
          <w:rFonts w:hint="eastAsia" w:ascii="宋体" w:hAnsi="宋体" w:cs="宋体"/>
          <w:sz w:val="22"/>
          <w:szCs w:val="22"/>
        </w:rPr>
        <w:t>评标方法：综合评分法。</w:t>
      </w:r>
    </w:p>
    <w:p>
      <w:pPr>
        <w:spacing w:line="360" w:lineRule="exact"/>
        <w:ind w:firstLine="440" w:firstLineChars="200"/>
        <w:rPr>
          <w:rFonts w:hint="eastAsia" w:ascii="宋体" w:hAnsi="宋体" w:cs="宋体"/>
          <w:sz w:val="22"/>
          <w:szCs w:val="22"/>
        </w:rPr>
      </w:pPr>
      <w:r>
        <w:rPr>
          <w:rFonts w:hint="eastAsia" w:ascii="宋体" w:hAnsi="宋体" w:cs="宋体"/>
          <w:sz w:val="22"/>
          <w:szCs w:val="22"/>
        </w:rPr>
        <w:t>本项目采用综合评分法。在最大限度地满足招标文件实质性要求的前提下，按照招标文件中规定的各项因素进行综合评审，将投标人的综合得分按由高到低的顺序排出各有效投标的名次，综合得分最高的投标人为本项目中标人。</w:t>
      </w:r>
    </w:p>
    <w:tbl>
      <w:tblPr>
        <w:tblStyle w:val="9"/>
        <w:tblW w:w="8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1270"/>
        <w:gridCol w:w="933"/>
        <w:gridCol w:w="1185"/>
        <w:gridCol w:w="4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386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Times New Roman" w:cs="宋体"/>
                <w:sz w:val="22"/>
                <w:szCs w:val="22"/>
                <w:lang w:eastAsia="zh-Hans"/>
              </w:rPr>
            </w:pPr>
            <w:r>
              <w:rPr>
                <w:rFonts w:hint="eastAsia" w:ascii="宋体" w:hAnsi="宋体" w:cs="宋体"/>
                <w:sz w:val="22"/>
                <w:szCs w:val="22"/>
                <w:lang w:eastAsia="zh-Hans"/>
              </w:rPr>
              <w:t>评分项</w:t>
            </w:r>
          </w:p>
        </w:tc>
        <w:tc>
          <w:tcPr>
            <w:tcW w:w="4806" w:type="dxa"/>
            <w:tcBorders>
              <w:left w:val="single" w:color="auto" w:sz="4" w:space="0"/>
            </w:tcBorders>
            <w:vAlign w:val="center"/>
          </w:tcPr>
          <w:p>
            <w:pPr>
              <w:spacing w:line="360" w:lineRule="exact"/>
              <w:jc w:val="center"/>
              <w:rPr>
                <w:rFonts w:ascii="宋体" w:hAnsi="宋体" w:eastAsia="Times New Roman" w:cs="宋体"/>
                <w:sz w:val="22"/>
                <w:szCs w:val="22"/>
                <w:lang w:eastAsia="zh-Hans"/>
              </w:rPr>
            </w:pPr>
            <w:r>
              <w:rPr>
                <w:rFonts w:hint="eastAsia" w:ascii="宋体" w:hAnsi="宋体" w:cs="宋体"/>
                <w:sz w:val="22"/>
                <w:szCs w:val="22"/>
                <w:lang w:eastAsia="zh-Hans"/>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3861" w:type="dxa"/>
            <w:gridSpan w:val="4"/>
            <w:tcBorders>
              <w:top w:val="single" w:color="auto" w:sz="4" w:space="0"/>
            </w:tcBorders>
            <w:vAlign w:val="center"/>
          </w:tcPr>
          <w:p>
            <w:pPr>
              <w:spacing w:line="360" w:lineRule="exact"/>
              <w:jc w:val="center"/>
              <w:rPr>
                <w:rFonts w:ascii="宋体" w:hAnsi="宋体" w:eastAsia="Times New Roman" w:cs="宋体"/>
                <w:sz w:val="22"/>
                <w:szCs w:val="22"/>
                <w:lang w:eastAsia="zh-Hans"/>
              </w:rPr>
            </w:pPr>
            <w:r>
              <w:rPr>
                <w:rFonts w:hint="eastAsia" w:ascii="宋体" w:hAnsi="宋体" w:cs="宋体"/>
                <w:sz w:val="22"/>
                <w:szCs w:val="22"/>
                <w:lang w:eastAsia="zh-Hans"/>
              </w:rPr>
              <w:t>价格</w:t>
            </w:r>
          </w:p>
        </w:tc>
        <w:tc>
          <w:tcPr>
            <w:tcW w:w="4806" w:type="dxa"/>
            <w:vAlign w:val="center"/>
          </w:tcPr>
          <w:p>
            <w:pPr>
              <w:spacing w:line="360" w:lineRule="exact"/>
              <w:jc w:val="center"/>
              <w:rPr>
                <w:rFonts w:hint="eastAsia" w:ascii="宋体" w:hAnsi="宋体" w:cs="宋体"/>
                <w:sz w:val="22"/>
                <w:szCs w:val="22"/>
              </w:rPr>
            </w:pPr>
            <w:r>
              <w:rPr>
                <w:rFonts w:hint="eastAsia" w:ascii="宋体" w:hAnsi="宋体" w:cs="宋体"/>
                <w:sz w:val="22"/>
                <w:szCs w:val="22"/>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3861" w:type="dxa"/>
            <w:gridSpan w:val="4"/>
            <w:vAlign w:val="center"/>
          </w:tcPr>
          <w:p>
            <w:pPr>
              <w:spacing w:line="360" w:lineRule="exact"/>
              <w:jc w:val="center"/>
              <w:rPr>
                <w:rFonts w:ascii="宋体" w:hAnsi="宋体" w:eastAsia="Times New Roman" w:cs="宋体"/>
                <w:sz w:val="22"/>
                <w:szCs w:val="22"/>
                <w:lang w:eastAsia="zh-Hans"/>
              </w:rPr>
            </w:pPr>
            <w:r>
              <w:rPr>
                <w:rFonts w:hint="eastAsia" w:ascii="宋体" w:hAnsi="宋体" w:cs="宋体"/>
                <w:sz w:val="22"/>
                <w:szCs w:val="22"/>
                <w:lang w:eastAsia="zh-Hans"/>
              </w:rPr>
              <w:t>技术部份</w:t>
            </w:r>
          </w:p>
        </w:tc>
        <w:tc>
          <w:tcPr>
            <w:tcW w:w="4806" w:type="dxa"/>
            <w:vAlign w:val="center"/>
          </w:tcPr>
          <w:p>
            <w:pPr>
              <w:spacing w:line="360" w:lineRule="exact"/>
              <w:jc w:val="center"/>
              <w:rPr>
                <w:rFonts w:hint="eastAsia" w:ascii="宋体" w:hAnsi="宋体" w:cs="宋体"/>
                <w:sz w:val="22"/>
                <w:szCs w:val="22"/>
              </w:rPr>
            </w:pPr>
            <w:r>
              <w:rPr>
                <w:rFonts w:ascii="宋体" w:hAnsi="宋体" w:cs="宋体"/>
                <w:sz w:val="22"/>
                <w:szCs w:val="22"/>
              </w:rPr>
              <w:t>4</w:t>
            </w:r>
            <w:r>
              <w:rPr>
                <w:rFonts w:hint="eastAsia" w:ascii="宋体" w:hAnsi="宋体" w:cs="宋体"/>
                <w:sz w:val="22"/>
                <w:szCs w:val="22"/>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473" w:type="dxa"/>
            <w:vAlign w:val="center"/>
          </w:tcPr>
          <w:p>
            <w:pPr>
              <w:spacing w:line="360" w:lineRule="exact"/>
              <w:jc w:val="center"/>
              <w:rPr>
                <w:rFonts w:hint="eastAsia" w:ascii="宋体" w:hAnsi="宋体" w:cs="宋体"/>
                <w:sz w:val="22"/>
                <w:szCs w:val="22"/>
              </w:rPr>
            </w:pPr>
            <w:r>
              <w:rPr>
                <w:rFonts w:hint="eastAsia" w:ascii="宋体" w:hAnsi="宋体" w:cs="宋体"/>
                <w:sz w:val="22"/>
                <w:szCs w:val="22"/>
              </w:rPr>
              <w:t>序号</w:t>
            </w:r>
          </w:p>
        </w:tc>
        <w:tc>
          <w:tcPr>
            <w:tcW w:w="1270" w:type="dxa"/>
            <w:vAlign w:val="center"/>
          </w:tcPr>
          <w:p>
            <w:pPr>
              <w:spacing w:line="360" w:lineRule="exact"/>
              <w:jc w:val="center"/>
              <w:rPr>
                <w:rFonts w:hint="eastAsia" w:ascii="宋体" w:hAnsi="宋体" w:cs="宋体"/>
                <w:sz w:val="22"/>
                <w:szCs w:val="22"/>
              </w:rPr>
            </w:pPr>
            <w:r>
              <w:rPr>
                <w:rFonts w:hint="eastAsia" w:ascii="宋体" w:hAnsi="宋体" w:cs="宋体"/>
                <w:sz w:val="22"/>
                <w:szCs w:val="22"/>
              </w:rPr>
              <w:t>评分因素</w:t>
            </w:r>
          </w:p>
        </w:tc>
        <w:tc>
          <w:tcPr>
            <w:tcW w:w="933" w:type="dxa"/>
            <w:vAlign w:val="center"/>
          </w:tcPr>
          <w:p>
            <w:pPr>
              <w:tabs>
                <w:tab w:val="left" w:pos="11471"/>
                <w:tab w:val="center" w:pos="15561"/>
              </w:tabs>
              <w:spacing w:line="360" w:lineRule="exact"/>
              <w:jc w:val="left"/>
              <w:rPr>
                <w:rFonts w:hint="eastAsia" w:ascii="宋体" w:hAnsi="宋体" w:cs="宋体"/>
                <w:sz w:val="22"/>
                <w:szCs w:val="22"/>
              </w:rPr>
            </w:pPr>
            <w:r>
              <w:rPr>
                <w:rFonts w:ascii="宋体" w:hAnsi="宋体" w:cs="宋体"/>
                <w:sz w:val="22"/>
                <w:szCs w:val="22"/>
              </w:rPr>
              <w:tab/>
            </w:r>
            <w:r>
              <w:rPr>
                <w:rFonts w:ascii="宋体" w:hAnsi="宋体" w:cs="宋体"/>
                <w:sz w:val="22"/>
                <w:szCs w:val="22"/>
              </w:rPr>
              <w:tab/>
            </w:r>
            <w:r>
              <w:rPr>
                <w:rFonts w:hint="eastAsia" w:ascii="宋体" w:hAnsi="宋体" w:cs="宋体"/>
                <w:sz w:val="22"/>
                <w:szCs w:val="22"/>
              </w:rPr>
              <w:t>分值</w:t>
            </w:r>
          </w:p>
        </w:tc>
        <w:tc>
          <w:tcPr>
            <w:tcW w:w="1185" w:type="dxa"/>
            <w:vAlign w:val="center"/>
          </w:tcPr>
          <w:p>
            <w:pPr>
              <w:spacing w:line="360" w:lineRule="exact"/>
              <w:jc w:val="center"/>
              <w:rPr>
                <w:rFonts w:hint="eastAsia" w:ascii="宋体" w:hAnsi="宋体" w:cs="宋体"/>
                <w:sz w:val="22"/>
                <w:szCs w:val="22"/>
              </w:rPr>
            </w:pPr>
            <w:r>
              <w:rPr>
                <w:rFonts w:hint="eastAsia" w:ascii="宋体" w:hAnsi="宋体" w:cs="宋体"/>
                <w:sz w:val="22"/>
                <w:szCs w:val="22"/>
              </w:rPr>
              <w:t>评分方式</w:t>
            </w:r>
          </w:p>
        </w:tc>
        <w:tc>
          <w:tcPr>
            <w:tcW w:w="4806" w:type="dxa"/>
            <w:vAlign w:val="center"/>
          </w:tcPr>
          <w:p>
            <w:pPr>
              <w:spacing w:line="360" w:lineRule="exact"/>
              <w:jc w:val="center"/>
              <w:rPr>
                <w:rFonts w:hint="eastAsia" w:ascii="宋体" w:hAnsi="宋体" w:cs="宋体"/>
                <w:sz w:val="22"/>
                <w:szCs w:val="22"/>
              </w:rPr>
            </w:pPr>
            <w:r>
              <w:rPr>
                <w:rFonts w:hint="eastAsia" w:ascii="宋体" w:hAnsi="宋体" w:cs="宋体"/>
                <w:sz w:val="22"/>
                <w:szCs w:val="22"/>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dxa"/>
            <w:vAlign w:val="center"/>
          </w:tcPr>
          <w:p>
            <w:pPr>
              <w:spacing w:line="360" w:lineRule="exact"/>
              <w:jc w:val="center"/>
              <w:rPr>
                <w:rFonts w:hint="eastAsia" w:ascii="宋体" w:hAnsi="宋体" w:cs="宋体"/>
                <w:sz w:val="22"/>
                <w:szCs w:val="22"/>
              </w:rPr>
            </w:pPr>
            <w:r>
              <w:rPr>
                <w:rFonts w:hint="eastAsia" w:ascii="宋体" w:hAnsi="宋体" w:cs="宋体"/>
                <w:sz w:val="22"/>
                <w:szCs w:val="22"/>
              </w:rPr>
              <w:t>1</w:t>
            </w:r>
          </w:p>
        </w:tc>
        <w:tc>
          <w:tcPr>
            <w:tcW w:w="1270" w:type="dxa"/>
            <w:vAlign w:val="center"/>
          </w:tcPr>
          <w:p>
            <w:pPr>
              <w:wordWrap w:val="0"/>
              <w:spacing w:line="360" w:lineRule="exact"/>
              <w:jc w:val="center"/>
              <w:rPr>
                <w:rFonts w:hint="eastAsia" w:ascii="宋体" w:hAnsi="宋体" w:cs="宋体"/>
                <w:sz w:val="22"/>
                <w:szCs w:val="22"/>
              </w:rPr>
            </w:pPr>
            <w:r>
              <w:rPr>
                <w:rFonts w:hint="eastAsia" w:ascii="宋体" w:hAnsi="宋体" w:cs="宋体"/>
                <w:sz w:val="22"/>
                <w:szCs w:val="22"/>
              </w:rPr>
              <w:t>服务方案</w:t>
            </w:r>
          </w:p>
        </w:tc>
        <w:tc>
          <w:tcPr>
            <w:tcW w:w="933" w:type="dxa"/>
            <w:vAlign w:val="center"/>
          </w:tcPr>
          <w:p>
            <w:pPr>
              <w:wordWrap w:val="0"/>
              <w:spacing w:line="360" w:lineRule="exact"/>
              <w:jc w:val="center"/>
              <w:rPr>
                <w:rFonts w:hint="eastAsia" w:ascii="宋体" w:hAnsi="宋体" w:eastAsia="宋体" w:cs="宋体"/>
                <w:sz w:val="22"/>
                <w:szCs w:val="22"/>
                <w:lang w:eastAsia="zh-CN"/>
              </w:rPr>
            </w:pPr>
            <w:r>
              <w:rPr>
                <w:rFonts w:hint="eastAsia" w:ascii="宋体" w:hAnsi="宋体" w:cs="宋体"/>
                <w:sz w:val="22"/>
                <w:szCs w:val="22"/>
              </w:rPr>
              <w:t>1</w:t>
            </w:r>
            <w:r>
              <w:rPr>
                <w:rFonts w:hint="eastAsia" w:ascii="宋体" w:hAnsi="宋体" w:cs="宋体"/>
                <w:sz w:val="22"/>
                <w:szCs w:val="22"/>
                <w:lang w:val="en-US" w:eastAsia="zh-CN"/>
              </w:rPr>
              <w:t>8</w:t>
            </w:r>
          </w:p>
        </w:tc>
        <w:tc>
          <w:tcPr>
            <w:tcW w:w="1185" w:type="dxa"/>
            <w:vAlign w:val="center"/>
          </w:tcPr>
          <w:p>
            <w:pPr>
              <w:spacing w:line="360" w:lineRule="exact"/>
              <w:jc w:val="center"/>
              <w:rPr>
                <w:rFonts w:hint="eastAsia" w:ascii="宋体" w:hAnsi="宋体" w:cs="宋体"/>
                <w:sz w:val="22"/>
                <w:szCs w:val="22"/>
              </w:rPr>
            </w:pPr>
            <w:r>
              <w:rPr>
                <w:rFonts w:hint="eastAsia" w:ascii="宋体" w:hAnsi="宋体" w:cs="宋体"/>
                <w:sz w:val="22"/>
                <w:szCs w:val="22"/>
              </w:rPr>
              <w:t>专家打分</w:t>
            </w:r>
          </w:p>
        </w:tc>
        <w:tc>
          <w:tcPr>
            <w:tcW w:w="4806" w:type="dxa"/>
            <w:vAlign w:val="center"/>
          </w:tcPr>
          <w:p>
            <w:pPr>
              <w:spacing w:line="360" w:lineRule="exact"/>
              <w:jc w:val="left"/>
              <w:rPr>
                <w:rFonts w:hint="eastAsia" w:ascii="Times New Roman" w:hAnsi="Times New Roman" w:eastAsia="宋体" w:cs="Times New Roman"/>
                <w:kern w:val="2"/>
                <w:sz w:val="21"/>
                <w:szCs w:val="21"/>
                <w:lang w:bidi="ar"/>
              </w:rPr>
            </w:pPr>
            <w:r>
              <w:rPr>
                <w:rFonts w:hint="eastAsia" w:cs="Times New Roman"/>
                <w:b/>
                <w:bCs/>
                <w:kern w:val="2"/>
                <w:sz w:val="21"/>
                <w:szCs w:val="21"/>
                <w:lang w:eastAsia="zh-CN" w:bidi="ar"/>
              </w:rPr>
              <w:t>一、</w:t>
            </w:r>
            <w:r>
              <w:rPr>
                <w:rFonts w:hint="eastAsia" w:cs="Times New Roman"/>
                <w:b/>
                <w:bCs/>
                <w:kern w:val="2"/>
                <w:sz w:val="21"/>
                <w:szCs w:val="21"/>
                <w:lang w:val="en-US" w:eastAsia="zh-CN" w:bidi="ar"/>
              </w:rPr>
              <w:t>评审</w:t>
            </w:r>
            <w:r>
              <w:rPr>
                <w:rFonts w:hint="eastAsia" w:ascii="Times New Roman" w:hAnsi="Times New Roman" w:eastAsia="宋体" w:cs="Times New Roman"/>
                <w:b/>
                <w:bCs/>
                <w:kern w:val="2"/>
                <w:sz w:val="21"/>
                <w:szCs w:val="21"/>
                <w:lang w:bidi="ar"/>
              </w:rPr>
              <w:t>内容：</w:t>
            </w:r>
            <w:r>
              <w:rPr>
                <w:rFonts w:hint="eastAsia" w:ascii="Times New Roman" w:hAnsi="Times New Roman" w:eastAsia="宋体" w:cs="Times New Roman"/>
                <w:kern w:val="2"/>
                <w:sz w:val="21"/>
                <w:szCs w:val="21"/>
                <w:lang w:bidi="ar"/>
              </w:rPr>
              <w:t xml:space="preserve"> </w:t>
            </w:r>
          </w:p>
          <w:p>
            <w:pPr>
              <w:pStyle w:val="18"/>
              <w:spacing w:before="0" w:line="240" w:lineRule="auto"/>
              <w:ind w:left="0" w:right="115" w:firstLine="0"/>
              <w:rPr>
                <w:rFonts w:hint="eastAsia" w:ascii="Times New Roman" w:hAnsi="Times New Roman" w:cs="Times New Roman"/>
                <w:sz w:val="21"/>
                <w:lang w:eastAsia="zh-CN"/>
              </w:rPr>
            </w:pPr>
            <w:r>
              <w:rPr>
                <w:rFonts w:hint="eastAsia" w:ascii="Times New Roman" w:hAnsi="Times New Roman" w:cs="Times New Roman"/>
                <w:sz w:val="21"/>
                <w:lang w:eastAsia="zh-CN"/>
              </w:rPr>
              <w:t>投标人提供的工作方案应结合项目工作要求，</w:t>
            </w:r>
            <w:r>
              <w:rPr>
                <w:rFonts w:hint="eastAsia" w:ascii="Times New Roman" w:hAnsi="Times New Roman" w:cs="Times New Roman"/>
                <w:spacing w:val="0"/>
                <w:sz w:val="21"/>
                <w:lang w:eastAsia="zh-CN"/>
              </w:rPr>
              <w:t>具体内容包括但不限于：</w:t>
            </w:r>
          </w:p>
          <w:p>
            <w:pPr>
              <w:pStyle w:val="18"/>
              <w:spacing w:line="240" w:lineRule="auto"/>
              <w:ind w:left="82"/>
              <w:rPr>
                <w:rFonts w:hint="eastAsia" w:ascii="Times New Roman" w:hAnsi="Times New Roman" w:cs="Times New Roman"/>
                <w:sz w:val="21"/>
                <w:lang w:eastAsia="zh-CN"/>
              </w:rPr>
            </w:pPr>
            <w:r>
              <w:rPr>
                <w:rFonts w:hint="eastAsia" w:ascii="Times New Roman" w:hAnsi="Times New Roman" w:cs="Times New Roman"/>
                <w:spacing w:val="0"/>
                <w:sz w:val="21"/>
                <w:lang w:eastAsia="zh-CN"/>
              </w:rPr>
              <w:t>1.项目需求响应；</w:t>
            </w:r>
          </w:p>
          <w:p>
            <w:pPr>
              <w:pStyle w:val="18"/>
              <w:spacing w:before="0" w:line="240" w:lineRule="auto"/>
              <w:ind w:left="67"/>
              <w:rPr>
                <w:rFonts w:hint="eastAsia" w:ascii="Times New Roman" w:hAnsi="Times New Roman" w:cs="Times New Roman"/>
                <w:sz w:val="21"/>
                <w:lang w:eastAsia="zh-CN"/>
              </w:rPr>
            </w:pPr>
            <w:r>
              <w:rPr>
                <w:rFonts w:hint="eastAsia" w:ascii="Times New Roman" w:hAnsi="Times New Roman" w:cs="Times New Roman"/>
                <w:spacing w:val="0"/>
                <w:sz w:val="21"/>
                <w:lang w:eastAsia="zh-CN"/>
              </w:rPr>
              <w:t>2.项目工作思路；</w:t>
            </w:r>
          </w:p>
          <w:p>
            <w:pPr>
              <w:pStyle w:val="18"/>
              <w:spacing w:before="0" w:line="240" w:lineRule="auto"/>
              <w:ind w:left="69"/>
              <w:rPr>
                <w:rFonts w:hint="eastAsia" w:ascii="Times New Roman" w:hAnsi="Times New Roman" w:cs="Times New Roman"/>
                <w:sz w:val="21"/>
                <w:lang w:eastAsia="zh-CN"/>
              </w:rPr>
            </w:pPr>
            <w:r>
              <w:rPr>
                <w:rFonts w:hint="eastAsia" w:ascii="Times New Roman" w:hAnsi="Times New Roman" w:cs="Times New Roman"/>
                <w:spacing w:val="0"/>
                <w:sz w:val="21"/>
                <w:lang w:eastAsia="zh-CN"/>
              </w:rPr>
              <w:t>3.项目工作方法；</w:t>
            </w:r>
          </w:p>
          <w:p>
            <w:pPr>
              <w:pStyle w:val="18"/>
              <w:spacing w:before="0" w:line="240" w:lineRule="auto"/>
              <w:ind w:left="63"/>
              <w:rPr>
                <w:rFonts w:hint="eastAsia" w:ascii="Times New Roman" w:hAnsi="Times New Roman" w:cs="Times New Roman"/>
                <w:sz w:val="21"/>
                <w:lang w:eastAsia="zh-CN"/>
              </w:rPr>
            </w:pPr>
            <w:r>
              <w:rPr>
                <w:rFonts w:hint="eastAsia" w:ascii="Times New Roman" w:hAnsi="Times New Roman" w:cs="Times New Roman"/>
                <w:spacing w:val="0"/>
                <w:sz w:val="21"/>
                <w:lang w:eastAsia="zh-CN"/>
              </w:rPr>
              <w:t>4.项目工作流程；</w:t>
            </w:r>
          </w:p>
          <w:p>
            <w:pPr>
              <w:pStyle w:val="18"/>
              <w:spacing w:before="0" w:line="240" w:lineRule="auto"/>
              <w:ind w:left="69"/>
              <w:rPr>
                <w:rFonts w:hint="eastAsia" w:ascii="Times New Roman" w:hAnsi="Times New Roman" w:cs="Times New Roman"/>
                <w:sz w:val="21"/>
                <w:lang w:eastAsia="zh-CN"/>
              </w:rPr>
            </w:pPr>
            <w:r>
              <w:rPr>
                <w:rFonts w:hint="eastAsia" w:ascii="Times New Roman" w:hAnsi="Times New Roman" w:cs="Times New Roman"/>
                <w:spacing w:val="0"/>
                <w:sz w:val="21"/>
                <w:lang w:eastAsia="zh-CN"/>
              </w:rPr>
              <w:t>5.项目服务</w:t>
            </w:r>
            <w:r>
              <w:rPr>
                <w:rFonts w:hint="eastAsia" w:ascii="Times New Roman" w:hAnsi="Times New Roman" w:cs="Times New Roman"/>
                <w:spacing w:val="0"/>
                <w:sz w:val="21"/>
                <w:lang w:val="en-US" w:eastAsia="zh-CN"/>
              </w:rPr>
              <w:t>内容</w:t>
            </w:r>
            <w:r>
              <w:rPr>
                <w:rFonts w:hint="eastAsia" w:ascii="Times New Roman" w:hAnsi="Times New Roman" w:cs="Times New Roman"/>
                <w:spacing w:val="0"/>
                <w:sz w:val="21"/>
                <w:lang w:eastAsia="zh-CN"/>
              </w:rPr>
              <w:t>。</w:t>
            </w:r>
          </w:p>
          <w:p>
            <w:pPr>
              <w:spacing w:line="360" w:lineRule="exact"/>
              <w:jc w:val="left"/>
              <w:rPr>
                <w:rFonts w:hint="eastAsia" w:ascii="Times New Roman" w:hAnsi="Times New Roman" w:eastAsia="宋体" w:cs="Times New Roman"/>
                <w:kern w:val="2"/>
                <w:sz w:val="21"/>
                <w:szCs w:val="21"/>
                <w:lang w:bidi="ar"/>
              </w:rPr>
            </w:pPr>
            <w:r>
              <w:rPr>
                <w:rFonts w:hint="eastAsia" w:cs="Times New Roman"/>
                <w:b/>
                <w:bCs/>
                <w:kern w:val="2"/>
                <w:sz w:val="21"/>
                <w:szCs w:val="21"/>
                <w:lang w:eastAsia="zh-CN" w:bidi="ar"/>
              </w:rPr>
              <w:t>二、</w:t>
            </w:r>
            <w:r>
              <w:rPr>
                <w:rFonts w:hint="eastAsia" w:ascii="Times New Roman" w:hAnsi="Times New Roman" w:eastAsia="宋体" w:cs="Times New Roman"/>
                <w:b/>
                <w:bCs/>
                <w:kern w:val="2"/>
                <w:sz w:val="21"/>
                <w:szCs w:val="21"/>
                <w:lang w:bidi="ar"/>
              </w:rPr>
              <w:t>评审标准：</w:t>
            </w:r>
            <w:r>
              <w:rPr>
                <w:rFonts w:hint="eastAsia" w:ascii="Times New Roman" w:hAnsi="Times New Roman" w:eastAsia="宋体" w:cs="Times New Roman"/>
                <w:kern w:val="2"/>
                <w:sz w:val="21"/>
                <w:szCs w:val="21"/>
                <w:lang w:bidi="ar"/>
              </w:rPr>
              <w:t xml:space="preserve"> </w:t>
            </w:r>
          </w:p>
          <w:p>
            <w:pPr>
              <w:spacing w:line="240" w:lineRule="auto"/>
              <w:jc w:val="left"/>
              <w:rPr>
                <w:rFonts w:hint="eastAsia"/>
              </w:rPr>
            </w:pPr>
            <w:r>
              <w:rPr>
                <w:rFonts w:hint="eastAsia"/>
              </w:rPr>
              <w:t xml:space="preserve">考察以上方案，如果全部满足得 </w:t>
            </w:r>
            <w:r>
              <w:rPr>
                <w:rFonts w:hint="eastAsia"/>
                <w:lang w:val="en-US" w:eastAsia="zh-CN"/>
              </w:rPr>
              <w:t>10</w:t>
            </w:r>
            <w:r>
              <w:rPr>
                <w:rFonts w:hint="eastAsia"/>
              </w:rPr>
              <w:t>分，满足</w:t>
            </w:r>
            <w:r>
              <w:rPr>
                <w:rFonts w:hint="eastAsia"/>
                <w:lang w:eastAsia="zh-CN"/>
              </w:rPr>
              <w:t>一</w:t>
            </w:r>
            <w:r>
              <w:rPr>
                <w:rFonts w:hint="eastAsia"/>
              </w:rPr>
              <w:t xml:space="preserve">点得 </w:t>
            </w:r>
            <w:r>
              <w:rPr>
                <w:rFonts w:hint="eastAsia"/>
                <w:lang w:val="en-US" w:eastAsia="zh-CN"/>
              </w:rPr>
              <w:t>2</w:t>
            </w:r>
            <w:r>
              <w:rPr>
                <w:rFonts w:hint="eastAsia"/>
              </w:rPr>
              <w:t xml:space="preserve">分，未满足不得分。 </w:t>
            </w:r>
          </w:p>
          <w:p>
            <w:pPr>
              <w:spacing w:line="240" w:lineRule="auto"/>
              <w:jc w:val="left"/>
              <w:rPr>
                <w:rFonts w:hint="eastAsia"/>
              </w:rPr>
            </w:pPr>
            <w:r>
              <w:rPr>
                <w:rFonts w:hint="eastAsia"/>
              </w:rPr>
              <w:t xml:space="preserve">在此基础上，专家根据各供应商的具体响应内容按照量化的评审因素指标进一步评审： </w:t>
            </w:r>
          </w:p>
          <w:p>
            <w:pPr>
              <w:spacing w:line="240" w:lineRule="auto"/>
              <w:jc w:val="left"/>
              <w:rPr>
                <w:rFonts w:hint="eastAsia"/>
              </w:rPr>
            </w:pPr>
            <w:r>
              <w:rPr>
                <w:rFonts w:hint="eastAsia"/>
                <w:lang w:val="en-US" w:eastAsia="zh-CN"/>
              </w:rPr>
              <w:t>1.</w:t>
            </w:r>
            <w:r>
              <w:rPr>
                <w:rFonts w:hint="eastAsia"/>
              </w:rPr>
              <w:t xml:space="preserve">评审为优（方案完善，内容考虑周到，流程合理）的加 </w:t>
            </w:r>
            <w:r>
              <w:rPr>
                <w:rFonts w:hint="eastAsia"/>
                <w:lang w:val="en-US" w:eastAsia="zh-CN"/>
              </w:rPr>
              <w:t>8</w:t>
            </w:r>
            <w:r>
              <w:rPr>
                <w:rFonts w:hint="eastAsia"/>
              </w:rPr>
              <w:t xml:space="preserve">分； </w:t>
            </w:r>
          </w:p>
          <w:p>
            <w:pPr>
              <w:spacing w:line="240" w:lineRule="auto"/>
              <w:jc w:val="left"/>
              <w:rPr>
                <w:rFonts w:hint="eastAsia"/>
              </w:rPr>
            </w:pPr>
            <w:r>
              <w:rPr>
                <w:rFonts w:hint="eastAsia"/>
                <w:lang w:val="en-US" w:eastAsia="zh-CN"/>
              </w:rPr>
              <w:t>2.</w:t>
            </w:r>
            <w:r>
              <w:rPr>
                <w:rFonts w:hint="eastAsia"/>
              </w:rPr>
              <w:t xml:space="preserve">评价为良（方案较完善，内容考虑较周到，流程较合理）的加5分； </w:t>
            </w:r>
          </w:p>
          <w:p>
            <w:pPr>
              <w:spacing w:line="240" w:lineRule="auto"/>
              <w:jc w:val="left"/>
              <w:rPr>
                <w:rFonts w:hint="eastAsia"/>
              </w:rPr>
            </w:pPr>
            <w:r>
              <w:rPr>
                <w:rFonts w:hint="eastAsia"/>
                <w:lang w:val="en-US" w:eastAsia="zh-CN"/>
              </w:rPr>
              <w:t>3.</w:t>
            </w:r>
            <w:r>
              <w:rPr>
                <w:rFonts w:hint="eastAsia"/>
              </w:rPr>
              <w:t xml:space="preserve">评价为中（方案一般，内容考虑基本周到，流程一般）的加 3分； </w:t>
            </w:r>
          </w:p>
          <w:p>
            <w:pPr>
              <w:spacing w:line="240" w:lineRule="auto"/>
              <w:jc w:val="left"/>
              <w:rPr>
                <w:rFonts w:hint="eastAsia" w:ascii="宋体" w:hAnsi="宋体" w:cs="宋体"/>
                <w:szCs w:val="22"/>
              </w:rPr>
            </w:pPr>
            <w:r>
              <w:rPr>
                <w:rFonts w:hint="eastAsia"/>
                <w:lang w:val="en-US" w:eastAsia="zh-CN"/>
              </w:rPr>
              <w:t>4.</w:t>
            </w:r>
            <w:r>
              <w:rPr>
                <w:rFonts w:hint="eastAsia"/>
              </w:rPr>
              <w:t>未提供方案或评价为差（方案不完善，内容考虑欠周到）的不加分。如评审为差，评审专家须书面说明理由，并记录在档。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dxa"/>
            <w:vAlign w:val="center"/>
          </w:tcPr>
          <w:p>
            <w:pPr>
              <w:spacing w:line="360" w:lineRule="exact"/>
              <w:jc w:val="center"/>
              <w:rPr>
                <w:rFonts w:hint="eastAsia" w:ascii="宋体" w:hAnsi="宋体" w:cs="宋体"/>
                <w:sz w:val="22"/>
                <w:szCs w:val="22"/>
              </w:rPr>
            </w:pPr>
            <w:r>
              <w:rPr>
                <w:rFonts w:hint="eastAsia" w:ascii="宋体" w:hAnsi="宋体" w:cs="宋体"/>
                <w:sz w:val="22"/>
                <w:szCs w:val="22"/>
              </w:rPr>
              <w:t>2</w:t>
            </w:r>
          </w:p>
        </w:tc>
        <w:tc>
          <w:tcPr>
            <w:tcW w:w="1270" w:type="dxa"/>
            <w:vAlign w:val="center"/>
          </w:tcPr>
          <w:p>
            <w:pPr>
              <w:wordWrap w:val="0"/>
              <w:spacing w:line="360" w:lineRule="exact"/>
              <w:jc w:val="center"/>
              <w:rPr>
                <w:rFonts w:hint="eastAsia" w:ascii="宋体" w:hAnsi="宋体" w:cs="宋体"/>
                <w:sz w:val="22"/>
                <w:szCs w:val="22"/>
              </w:rPr>
            </w:pPr>
            <w:r>
              <w:rPr>
                <w:rFonts w:hint="eastAsia" w:ascii="宋体" w:hAnsi="宋体" w:cs="宋体"/>
                <w:kern w:val="0"/>
                <w:sz w:val="22"/>
                <w:szCs w:val="22"/>
                <w:lang w:bidi="ar"/>
              </w:rPr>
              <w:t>项目重点难点分析、应对措施及相关的合理化建议</w:t>
            </w:r>
          </w:p>
        </w:tc>
        <w:tc>
          <w:tcPr>
            <w:tcW w:w="933" w:type="dxa"/>
            <w:vAlign w:val="center"/>
          </w:tcPr>
          <w:p>
            <w:pPr>
              <w:wordWrap w:val="0"/>
              <w:spacing w:line="360" w:lineRule="exact"/>
              <w:jc w:val="center"/>
              <w:rPr>
                <w:rFonts w:hint="eastAsia" w:ascii="宋体" w:hAnsi="宋体" w:eastAsia="宋体" w:cs="宋体"/>
                <w:sz w:val="22"/>
                <w:szCs w:val="22"/>
                <w:lang w:eastAsia="zh-CN"/>
              </w:rPr>
            </w:pPr>
            <w:r>
              <w:rPr>
                <w:rFonts w:hint="eastAsia" w:ascii="宋体" w:hAnsi="宋体" w:cs="宋体"/>
                <w:sz w:val="22"/>
                <w:szCs w:val="22"/>
              </w:rPr>
              <w:t>1</w:t>
            </w:r>
            <w:r>
              <w:rPr>
                <w:rFonts w:hint="eastAsia" w:ascii="宋体" w:hAnsi="宋体" w:cs="宋体"/>
                <w:sz w:val="22"/>
                <w:szCs w:val="22"/>
                <w:lang w:val="en-US" w:eastAsia="zh-CN"/>
              </w:rPr>
              <w:t>8</w:t>
            </w:r>
          </w:p>
        </w:tc>
        <w:tc>
          <w:tcPr>
            <w:tcW w:w="1185" w:type="dxa"/>
            <w:vAlign w:val="center"/>
          </w:tcPr>
          <w:p>
            <w:pPr>
              <w:spacing w:line="360" w:lineRule="exact"/>
              <w:jc w:val="center"/>
              <w:rPr>
                <w:rFonts w:hint="eastAsia" w:ascii="宋体" w:hAnsi="宋体" w:cs="宋体"/>
                <w:sz w:val="22"/>
                <w:szCs w:val="22"/>
              </w:rPr>
            </w:pPr>
            <w:r>
              <w:rPr>
                <w:rFonts w:hint="eastAsia" w:ascii="宋体" w:hAnsi="宋体" w:cs="宋体"/>
                <w:sz w:val="22"/>
                <w:szCs w:val="22"/>
              </w:rPr>
              <w:t>专家打分</w:t>
            </w:r>
          </w:p>
        </w:tc>
        <w:tc>
          <w:tcPr>
            <w:tcW w:w="4806" w:type="dxa"/>
            <w:vAlign w:val="center"/>
          </w:tcPr>
          <w:p>
            <w:pPr>
              <w:spacing w:line="360" w:lineRule="exact"/>
              <w:jc w:val="left"/>
              <w:rPr>
                <w:rFonts w:hint="eastAsia" w:ascii="宋体" w:hAnsi="宋体" w:cs="宋体"/>
                <w:b/>
                <w:bCs/>
                <w:color w:val="000000"/>
                <w:kern w:val="0"/>
                <w:sz w:val="22"/>
                <w:szCs w:val="22"/>
                <w:lang w:bidi="ar"/>
              </w:rPr>
            </w:pPr>
            <w:r>
              <w:rPr>
                <w:rFonts w:hint="eastAsia" w:cs="Times New Roman"/>
                <w:b/>
                <w:bCs/>
                <w:kern w:val="2"/>
                <w:sz w:val="21"/>
                <w:szCs w:val="21"/>
                <w:lang w:eastAsia="zh-CN" w:bidi="ar"/>
              </w:rPr>
              <w:t>一、评审</w:t>
            </w:r>
            <w:r>
              <w:rPr>
                <w:rFonts w:hint="eastAsia" w:ascii="Times New Roman" w:hAnsi="Times New Roman" w:cs="Times New Roman"/>
                <w:b/>
                <w:bCs/>
                <w:kern w:val="2"/>
                <w:sz w:val="21"/>
                <w:szCs w:val="21"/>
                <w:lang w:bidi="ar"/>
              </w:rPr>
              <w:t>内容：</w:t>
            </w:r>
            <w:r>
              <w:rPr>
                <w:rFonts w:ascii="宋体" w:hAnsi="宋体" w:cs="宋体"/>
                <w:b/>
                <w:bCs/>
                <w:color w:val="000000"/>
                <w:kern w:val="0"/>
                <w:sz w:val="22"/>
                <w:szCs w:val="22"/>
                <w:lang w:bidi="ar"/>
              </w:rPr>
              <w:t xml:space="preserve"> </w:t>
            </w:r>
          </w:p>
          <w:p>
            <w:pPr>
              <w:spacing w:line="240" w:lineRule="auto"/>
              <w:jc w:val="left"/>
              <w:rPr>
                <w:rFonts w:hint="eastAsia"/>
              </w:rPr>
            </w:pPr>
            <w:r>
              <w:rPr>
                <w:rFonts w:hint="eastAsia"/>
              </w:rPr>
              <w:t>1</w:t>
            </w:r>
            <w:r>
              <w:rPr>
                <w:rFonts w:hint="eastAsia"/>
                <w:lang w:val="en-US" w:eastAsia="zh-CN"/>
              </w:rPr>
              <w:t>.</w:t>
            </w:r>
            <w:r>
              <w:rPr>
                <w:rFonts w:hint="eastAsia"/>
              </w:rPr>
              <w:t xml:space="preserve">项目背景、工作目标和工作内容； </w:t>
            </w:r>
          </w:p>
          <w:p>
            <w:pPr>
              <w:spacing w:line="240" w:lineRule="auto"/>
              <w:jc w:val="left"/>
              <w:rPr>
                <w:rFonts w:hint="eastAsia"/>
              </w:rPr>
            </w:pPr>
            <w:r>
              <w:rPr>
                <w:rFonts w:hint="eastAsia"/>
              </w:rPr>
              <w:t>2</w:t>
            </w:r>
            <w:r>
              <w:rPr>
                <w:rFonts w:hint="eastAsia"/>
                <w:lang w:val="en-US" w:eastAsia="zh-CN"/>
              </w:rPr>
              <w:t>.</w:t>
            </w:r>
            <w:r>
              <w:rPr>
                <w:rFonts w:hint="eastAsia"/>
              </w:rPr>
              <w:t>项目现状条件；</w:t>
            </w:r>
          </w:p>
          <w:p>
            <w:pPr>
              <w:spacing w:line="240" w:lineRule="auto"/>
              <w:jc w:val="left"/>
              <w:rPr>
                <w:rFonts w:hint="eastAsia"/>
              </w:rPr>
            </w:pPr>
            <w:r>
              <w:rPr>
                <w:rFonts w:hint="eastAsia"/>
              </w:rPr>
              <w:t>3</w:t>
            </w:r>
            <w:r>
              <w:rPr>
                <w:rFonts w:hint="eastAsia"/>
                <w:lang w:val="en-US" w:eastAsia="zh-CN"/>
              </w:rPr>
              <w:t>.</w:t>
            </w:r>
            <w:r>
              <w:rPr>
                <w:rFonts w:hint="eastAsia"/>
              </w:rPr>
              <w:t xml:space="preserve">实施中的重、难点问题分析； </w:t>
            </w:r>
          </w:p>
          <w:p>
            <w:pPr>
              <w:spacing w:line="240" w:lineRule="auto"/>
              <w:jc w:val="left"/>
              <w:rPr>
                <w:rFonts w:hint="eastAsia"/>
              </w:rPr>
            </w:pPr>
            <w:r>
              <w:rPr>
                <w:rFonts w:hint="eastAsia"/>
              </w:rPr>
              <w:t>4</w:t>
            </w:r>
            <w:r>
              <w:rPr>
                <w:rFonts w:hint="eastAsia"/>
                <w:lang w:val="en-US" w:eastAsia="zh-CN"/>
              </w:rPr>
              <w:t>.</w:t>
            </w:r>
            <w:r>
              <w:rPr>
                <w:rFonts w:hint="eastAsia"/>
              </w:rPr>
              <w:t xml:space="preserve">合理化建议。 </w:t>
            </w:r>
          </w:p>
          <w:p>
            <w:pPr>
              <w:spacing w:line="360" w:lineRule="exact"/>
              <w:jc w:val="left"/>
              <w:rPr>
                <w:rFonts w:hint="eastAsia" w:ascii="Times New Roman" w:hAnsi="Times New Roman" w:cs="Times New Roman"/>
                <w:b/>
                <w:bCs/>
                <w:kern w:val="2"/>
                <w:sz w:val="21"/>
                <w:szCs w:val="21"/>
                <w:lang w:bidi="ar"/>
              </w:rPr>
            </w:pPr>
            <w:r>
              <w:rPr>
                <w:rFonts w:hint="eastAsia" w:cs="Times New Roman"/>
                <w:b/>
                <w:bCs/>
                <w:kern w:val="2"/>
                <w:sz w:val="21"/>
                <w:szCs w:val="21"/>
                <w:lang w:eastAsia="zh-CN" w:bidi="ar"/>
              </w:rPr>
              <w:t>二、</w:t>
            </w:r>
            <w:r>
              <w:rPr>
                <w:rFonts w:hint="eastAsia" w:ascii="Times New Roman" w:hAnsi="Times New Roman" w:cs="Times New Roman"/>
                <w:b/>
                <w:bCs/>
                <w:kern w:val="2"/>
                <w:sz w:val="21"/>
                <w:szCs w:val="21"/>
                <w:lang w:bidi="ar"/>
              </w:rPr>
              <w:t xml:space="preserve">评审标准： </w:t>
            </w:r>
          </w:p>
          <w:p>
            <w:pPr>
              <w:spacing w:line="240" w:lineRule="auto"/>
              <w:jc w:val="left"/>
              <w:rPr>
                <w:rFonts w:hint="eastAsia"/>
              </w:rPr>
            </w:pPr>
            <w:r>
              <w:rPr>
                <w:rFonts w:hint="eastAsia"/>
              </w:rPr>
              <w:t xml:space="preserve">考察以上方案，如果全部满足得 </w:t>
            </w:r>
            <w:r>
              <w:rPr>
                <w:rFonts w:hint="eastAsia"/>
                <w:lang w:val="en-US" w:eastAsia="zh-CN"/>
              </w:rPr>
              <w:t>8</w:t>
            </w:r>
            <w:r>
              <w:rPr>
                <w:rFonts w:hint="eastAsia"/>
              </w:rPr>
              <w:t>分，满足任意三点得</w:t>
            </w:r>
            <w:r>
              <w:rPr>
                <w:rFonts w:hint="eastAsia"/>
                <w:lang w:val="en-US" w:eastAsia="zh-CN"/>
              </w:rPr>
              <w:t>6</w:t>
            </w:r>
            <w:r>
              <w:rPr>
                <w:rFonts w:hint="eastAsia"/>
              </w:rPr>
              <w:t xml:space="preserve">分，满足任意两点得 </w:t>
            </w:r>
            <w:r>
              <w:rPr>
                <w:rFonts w:hint="eastAsia"/>
                <w:lang w:val="en-US" w:eastAsia="zh-CN"/>
              </w:rPr>
              <w:t>4</w:t>
            </w:r>
            <w:r>
              <w:rPr>
                <w:rFonts w:hint="eastAsia"/>
              </w:rPr>
              <w:t xml:space="preserve">分，满足任意一点得 </w:t>
            </w:r>
            <w:r>
              <w:rPr>
                <w:rFonts w:hint="eastAsia"/>
                <w:lang w:val="en-US" w:eastAsia="zh-CN"/>
              </w:rPr>
              <w:t>2</w:t>
            </w:r>
            <w:r>
              <w:rPr>
                <w:rFonts w:hint="eastAsia"/>
              </w:rPr>
              <w:t xml:space="preserve">分，未满足不得分。 </w:t>
            </w:r>
          </w:p>
          <w:p>
            <w:pPr>
              <w:spacing w:line="240" w:lineRule="auto"/>
              <w:jc w:val="left"/>
              <w:rPr>
                <w:rFonts w:hint="eastAsia"/>
              </w:rPr>
            </w:pPr>
            <w:r>
              <w:rPr>
                <w:rFonts w:hint="eastAsia"/>
              </w:rPr>
              <w:t xml:space="preserve">在此基础上，专家根据各供应商的具体响应内容按照量化的评审因素指标进一步评审： </w:t>
            </w:r>
          </w:p>
          <w:p>
            <w:pPr>
              <w:spacing w:line="240" w:lineRule="auto"/>
              <w:jc w:val="left"/>
              <w:rPr>
                <w:rFonts w:hint="eastAsia"/>
              </w:rPr>
            </w:pPr>
            <w:r>
              <w:rPr>
                <w:rFonts w:hint="eastAsia"/>
                <w:lang w:val="en-US" w:eastAsia="zh-CN"/>
              </w:rPr>
              <w:t>1.</w:t>
            </w:r>
            <w:r>
              <w:rPr>
                <w:rFonts w:hint="eastAsia"/>
              </w:rPr>
              <w:t xml:space="preserve">评审为优（方案完整，实施中的重、难点问题分析完善，合理化建议充分）的加 </w:t>
            </w:r>
            <w:r>
              <w:rPr>
                <w:rFonts w:hint="eastAsia"/>
                <w:lang w:val="en-US" w:eastAsia="zh-CN"/>
              </w:rPr>
              <w:t>10</w:t>
            </w:r>
            <w:r>
              <w:rPr>
                <w:rFonts w:hint="eastAsia"/>
              </w:rPr>
              <w:t xml:space="preserve">分； </w:t>
            </w:r>
          </w:p>
          <w:p>
            <w:pPr>
              <w:spacing w:line="240" w:lineRule="auto"/>
              <w:jc w:val="left"/>
              <w:rPr>
                <w:rFonts w:hint="eastAsia"/>
              </w:rPr>
            </w:pPr>
            <w:r>
              <w:rPr>
                <w:rFonts w:hint="eastAsia"/>
                <w:lang w:val="en-US" w:eastAsia="zh-CN"/>
              </w:rPr>
              <w:t>2.</w:t>
            </w:r>
            <w:r>
              <w:rPr>
                <w:rFonts w:hint="eastAsia"/>
              </w:rPr>
              <w:t xml:space="preserve">评价为良（方案较完整，实施中的重、难点问题分析较完善，合理化建议较充分）的加 </w:t>
            </w:r>
            <w:r>
              <w:rPr>
                <w:rFonts w:hint="eastAsia"/>
                <w:lang w:val="en-US" w:eastAsia="zh-CN"/>
              </w:rPr>
              <w:t>7</w:t>
            </w:r>
            <w:r>
              <w:rPr>
                <w:rFonts w:hint="eastAsia"/>
              </w:rPr>
              <w:t xml:space="preserve">分； </w:t>
            </w:r>
          </w:p>
          <w:p>
            <w:pPr>
              <w:spacing w:line="240" w:lineRule="auto"/>
              <w:jc w:val="left"/>
              <w:rPr>
                <w:rFonts w:hint="eastAsia"/>
              </w:rPr>
            </w:pPr>
            <w:r>
              <w:rPr>
                <w:rFonts w:hint="eastAsia"/>
                <w:lang w:val="en-US" w:eastAsia="zh-CN"/>
              </w:rPr>
              <w:t>3.</w:t>
            </w:r>
            <w:r>
              <w:rPr>
                <w:rFonts w:hint="eastAsia"/>
              </w:rPr>
              <w:t>评价为中（方案一般，实施中的重、难点问题分析一般，合理化建议一般）的加</w:t>
            </w:r>
            <w:r>
              <w:rPr>
                <w:rFonts w:hint="eastAsia"/>
                <w:lang w:val="en-US" w:eastAsia="zh-CN"/>
              </w:rPr>
              <w:t>4</w:t>
            </w:r>
            <w:r>
              <w:rPr>
                <w:rFonts w:hint="eastAsia"/>
              </w:rPr>
              <w:t xml:space="preserve">分； </w:t>
            </w:r>
          </w:p>
          <w:p>
            <w:pPr>
              <w:spacing w:line="240" w:lineRule="auto"/>
              <w:jc w:val="left"/>
              <w:rPr>
                <w:rFonts w:hint="eastAsia" w:ascii="宋体" w:hAnsi="宋体" w:cs="宋体"/>
                <w:szCs w:val="22"/>
              </w:rPr>
            </w:pPr>
            <w:r>
              <w:rPr>
                <w:rFonts w:hint="eastAsia"/>
                <w:lang w:val="en-US" w:eastAsia="zh-CN"/>
              </w:rPr>
              <w:t>4.</w:t>
            </w:r>
            <w:r>
              <w:rPr>
                <w:rFonts w:hint="eastAsia"/>
              </w:rPr>
              <w:t>未提供方案或评价为差（方案不完善，内容考虑欠周到）的不加分。如评审为差，评审专家须书面说明理由，并记录在档。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dxa"/>
            <w:vAlign w:val="center"/>
          </w:tcPr>
          <w:p>
            <w:pPr>
              <w:spacing w:line="360" w:lineRule="exact"/>
              <w:jc w:val="center"/>
              <w:rPr>
                <w:rFonts w:hint="eastAsia" w:ascii="宋体" w:hAnsi="宋体" w:cs="宋体"/>
                <w:sz w:val="22"/>
                <w:szCs w:val="22"/>
              </w:rPr>
            </w:pPr>
            <w:r>
              <w:rPr>
                <w:rFonts w:hint="eastAsia" w:ascii="宋体" w:hAnsi="宋体" w:cs="宋体"/>
                <w:sz w:val="22"/>
                <w:szCs w:val="22"/>
              </w:rPr>
              <w:t>3</w:t>
            </w:r>
          </w:p>
        </w:tc>
        <w:tc>
          <w:tcPr>
            <w:tcW w:w="1270" w:type="dxa"/>
            <w:vAlign w:val="center"/>
          </w:tcPr>
          <w:p>
            <w:pPr>
              <w:jc w:val="center"/>
            </w:pPr>
            <w:r>
              <w:rPr>
                <w:rFonts w:hint="eastAsia"/>
                <w:kern w:val="0"/>
                <w:sz w:val="24"/>
              </w:rPr>
              <w:t>项目服务承诺</w:t>
            </w:r>
          </w:p>
        </w:tc>
        <w:tc>
          <w:tcPr>
            <w:tcW w:w="933" w:type="dxa"/>
            <w:vAlign w:val="center"/>
          </w:tcPr>
          <w:p>
            <w:pPr>
              <w:jc w:val="center"/>
            </w:pPr>
            <w:r>
              <w:rPr>
                <w:rFonts w:hint="eastAsia"/>
              </w:rPr>
              <w:t>6</w:t>
            </w:r>
          </w:p>
        </w:tc>
        <w:tc>
          <w:tcPr>
            <w:tcW w:w="1185" w:type="dxa"/>
            <w:vAlign w:val="center"/>
          </w:tcPr>
          <w:p>
            <w:pPr>
              <w:spacing w:line="360" w:lineRule="exact"/>
              <w:jc w:val="center"/>
              <w:rPr>
                <w:rFonts w:hint="eastAsia" w:ascii="宋体" w:hAnsi="宋体" w:cs="宋体"/>
                <w:sz w:val="22"/>
                <w:szCs w:val="22"/>
              </w:rPr>
            </w:pPr>
            <w:r>
              <w:rPr>
                <w:rFonts w:hint="eastAsia" w:ascii="宋体" w:hAnsi="宋体" w:cs="宋体"/>
                <w:sz w:val="22"/>
                <w:szCs w:val="22"/>
              </w:rPr>
              <w:t>专家打分</w:t>
            </w:r>
          </w:p>
        </w:tc>
        <w:tc>
          <w:tcPr>
            <w:tcW w:w="4806" w:type="dxa"/>
            <w:vAlign w:val="center"/>
          </w:tcPr>
          <w:p>
            <w:pPr>
              <w:spacing w:line="360" w:lineRule="exact"/>
              <w:jc w:val="left"/>
              <w:rPr>
                <w:rFonts w:hint="eastAsia" w:eastAsia="宋体"/>
                <w:b/>
                <w:bCs/>
                <w:kern w:val="2"/>
                <w:sz w:val="21"/>
                <w:szCs w:val="21"/>
                <w:lang w:eastAsia="zh-CN" w:bidi="ar"/>
              </w:rPr>
            </w:pPr>
            <w:r>
              <w:rPr>
                <w:rFonts w:hint="eastAsia"/>
                <w:b/>
                <w:bCs/>
                <w:kern w:val="2"/>
                <w:sz w:val="21"/>
                <w:szCs w:val="21"/>
                <w:lang w:eastAsia="zh-CN" w:bidi="ar"/>
              </w:rPr>
              <w:t>一、评审内容：</w:t>
            </w:r>
          </w:p>
          <w:p>
            <w:pPr>
              <w:spacing w:line="240" w:lineRule="auto"/>
              <w:jc w:val="left"/>
              <w:rPr>
                <w:rFonts w:hint="eastAsia" w:eastAsia="宋体"/>
                <w:szCs w:val="21"/>
                <w:lang w:bidi="ar"/>
              </w:rPr>
            </w:pPr>
            <w:r>
              <w:rPr>
                <w:rFonts w:hint="eastAsia"/>
              </w:rPr>
              <w:t>投标人对无法完成或无法按要求完成服务事项行为的违约承诺。 </w:t>
            </w:r>
          </w:p>
          <w:p>
            <w:pPr>
              <w:spacing w:line="360" w:lineRule="exact"/>
              <w:jc w:val="left"/>
              <w:rPr>
                <w:rFonts w:hint="eastAsia" w:eastAsia="宋体"/>
                <w:szCs w:val="21"/>
                <w:lang w:bidi="ar"/>
              </w:rPr>
            </w:pPr>
            <w:r>
              <w:rPr>
                <w:rFonts w:hint="eastAsia"/>
                <w:b/>
                <w:bCs/>
                <w:kern w:val="2"/>
                <w:sz w:val="21"/>
                <w:szCs w:val="21"/>
                <w:lang w:eastAsia="zh-CN" w:bidi="ar"/>
              </w:rPr>
              <w:t>二、</w:t>
            </w:r>
            <w:r>
              <w:rPr>
                <w:rFonts w:hint="eastAsia" w:eastAsia="宋体"/>
                <w:b/>
                <w:bCs/>
                <w:kern w:val="2"/>
                <w:sz w:val="21"/>
                <w:szCs w:val="21"/>
                <w:lang w:bidi="ar"/>
              </w:rPr>
              <w:t>评审标准：</w:t>
            </w:r>
            <w:r>
              <w:rPr>
                <w:rFonts w:hint="eastAsia" w:eastAsia="宋体"/>
                <w:kern w:val="2"/>
                <w:sz w:val="21"/>
                <w:szCs w:val="21"/>
                <w:lang w:bidi="ar"/>
              </w:rPr>
              <w:t xml:space="preserve"> </w:t>
            </w:r>
          </w:p>
          <w:p>
            <w:pPr>
              <w:spacing w:line="240" w:lineRule="auto"/>
              <w:jc w:val="left"/>
              <w:rPr>
                <w:rFonts w:hint="eastAsia"/>
              </w:rPr>
            </w:pPr>
            <w:r>
              <w:rPr>
                <w:rFonts w:hint="eastAsia"/>
              </w:rPr>
              <w:t>投标人按上述要求提供承诺函加盖公章（承诺函格式自拟），全部满足得6分，每缺少一项扣2分，扣完为止。</w:t>
            </w:r>
          </w:p>
          <w:p>
            <w:pPr>
              <w:jc w:val="left"/>
              <w:rPr>
                <w:rFonts w:hint="eastAsia" w:ascii="Times New Roman" w:hAnsi="Times New Roman" w:eastAsia="宋体" w:cs="Times New Roman"/>
                <w:szCs w:val="21"/>
                <w:lang w:bidi="ar"/>
              </w:rPr>
            </w:pPr>
            <w:r>
              <w:rPr>
                <w:rFonts w:hint="eastAsia"/>
              </w:rPr>
              <w:t>未提供或未按要求提供或提供的承诺函不清晰导致无法判断的不得分。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dxa"/>
            <w:vAlign w:val="center"/>
          </w:tcPr>
          <w:p>
            <w:pPr>
              <w:spacing w:line="360" w:lineRule="exact"/>
              <w:jc w:val="center"/>
              <w:rPr>
                <w:rFonts w:hint="eastAsia" w:ascii="宋体" w:hAnsi="宋体" w:cs="宋体"/>
                <w:sz w:val="22"/>
                <w:szCs w:val="22"/>
              </w:rPr>
            </w:pPr>
            <w:r>
              <w:rPr>
                <w:rFonts w:hint="eastAsia" w:ascii="宋体" w:hAnsi="宋体" w:cs="宋体"/>
                <w:sz w:val="22"/>
                <w:szCs w:val="22"/>
              </w:rPr>
              <w:t>4</w:t>
            </w:r>
          </w:p>
        </w:tc>
        <w:tc>
          <w:tcPr>
            <w:tcW w:w="1270" w:type="dxa"/>
            <w:vAlign w:val="center"/>
          </w:tcPr>
          <w:p>
            <w:pPr>
              <w:wordWrap w:val="0"/>
              <w:spacing w:line="360" w:lineRule="exact"/>
              <w:jc w:val="center"/>
              <w:rPr>
                <w:rFonts w:hint="eastAsia" w:ascii="宋体" w:hAnsi="宋体" w:cs="宋体"/>
                <w:kern w:val="0"/>
                <w:sz w:val="22"/>
                <w:szCs w:val="22"/>
                <w:lang w:bidi="ar"/>
              </w:rPr>
            </w:pPr>
            <w:r>
              <w:rPr>
                <w:rFonts w:hint="eastAsia" w:ascii="宋体" w:hAnsi="宋体" w:cs="宋体"/>
                <w:sz w:val="22"/>
                <w:szCs w:val="22"/>
              </w:rPr>
              <w:t>违约承诺</w:t>
            </w:r>
          </w:p>
        </w:tc>
        <w:tc>
          <w:tcPr>
            <w:tcW w:w="933" w:type="dxa"/>
            <w:vAlign w:val="center"/>
          </w:tcPr>
          <w:p>
            <w:pPr>
              <w:wordWrap w:val="0"/>
              <w:spacing w:line="360" w:lineRule="exact"/>
              <w:jc w:val="center"/>
              <w:rPr>
                <w:rFonts w:hint="eastAsia" w:ascii="宋体" w:hAnsi="宋体" w:cs="宋体"/>
                <w:sz w:val="22"/>
                <w:szCs w:val="22"/>
              </w:rPr>
            </w:pPr>
            <w:r>
              <w:rPr>
                <w:rFonts w:hint="eastAsia" w:ascii="宋体" w:hAnsi="宋体" w:cs="宋体"/>
                <w:sz w:val="22"/>
                <w:szCs w:val="22"/>
              </w:rPr>
              <w:t>6</w:t>
            </w:r>
          </w:p>
        </w:tc>
        <w:tc>
          <w:tcPr>
            <w:tcW w:w="1185" w:type="dxa"/>
            <w:vAlign w:val="center"/>
          </w:tcPr>
          <w:p>
            <w:pPr>
              <w:wordWrap w:val="0"/>
              <w:spacing w:line="360" w:lineRule="exact"/>
              <w:jc w:val="center"/>
              <w:rPr>
                <w:rFonts w:hint="eastAsia" w:ascii="宋体" w:hAnsi="宋体" w:cs="宋体"/>
                <w:sz w:val="22"/>
                <w:szCs w:val="22"/>
              </w:rPr>
            </w:pPr>
            <w:r>
              <w:rPr>
                <w:rFonts w:hint="eastAsia" w:ascii="宋体" w:hAnsi="宋体" w:cs="宋体"/>
                <w:sz w:val="22"/>
                <w:szCs w:val="22"/>
              </w:rPr>
              <w:t>专家打分</w:t>
            </w:r>
          </w:p>
        </w:tc>
        <w:tc>
          <w:tcPr>
            <w:tcW w:w="4806" w:type="dxa"/>
            <w:vAlign w:val="center"/>
          </w:tcPr>
          <w:p>
            <w:pPr>
              <w:spacing w:line="240" w:lineRule="auto"/>
              <w:jc w:val="left"/>
              <w:rPr>
                <w:rFonts w:hint="eastAsia"/>
              </w:rPr>
            </w:pPr>
            <w:r>
              <w:rPr>
                <w:rFonts w:hint="eastAsia"/>
              </w:rPr>
              <w:t>投标人承诺以下全部三项，并针对本项目履行合同服务过程中可能出现的违约情形进行预判，并提出合理、具体的违约承诺。</w:t>
            </w:r>
          </w:p>
          <w:p>
            <w:pPr>
              <w:wordWrap/>
              <w:spacing w:line="360" w:lineRule="exact"/>
              <w:jc w:val="left"/>
              <w:rPr>
                <w:rFonts w:hint="eastAsia" w:eastAsia="宋体"/>
                <w:b/>
                <w:bCs/>
                <w:szCs w:val="21"/>
                <w:lang w:bidi="ar"/>
              </w:rPr>
            </w:pPr>
            <w:r>
              <w:rPr>
                <w:rFonts w:hint="eastAsia"/>
                <w:b/>
                <w:bCs/>
                <w:szCs w:val="21"/>
                <w:lang w:eastAsia="zh-CN" w:bidi="ar"/>
              </w:rPr>
              <w:t>一、</w:t>
            </w:r>
            <w:r>
              <w:rPr>
                <w:rFonts w:hint="eastAsia" w:eastAsia="宋体"/>
                <w:b/>
                <w:bCs/>
                <w:szCs w:val="21"/>
                <w:lang w:bidi="ar"/>
              </w:rPr>
              <w:t>评审内容：</w:t>
            </w:r>
          </w:p>
          <w:p>
            <w:pPr>
              <w:wordWrap/>
              <w:spacing w:line="240" w:lineRule="auto"/>
              <w:jc w:val="left"/>
              <w:rPr>
                <w:rFonts w:hint="eastAsia"/>
              </w:rPr>
            </w:pPr>
            <w:r>
              <w:rPr>
                <w:rFonts w:hint="eastAsia"/>
              </w:rPr>
              <w:t>投标人在投标文件中承诺以下全部三项的得6分，否则不得分。</w:t>
            </w:r>
          </w:p>
          <w:p>
            <w:pPr>
              <w:wordWrap/>
              <w:spacing w:line="240" w:lineRule="auto"/>
              <w:jc w:val="left"/>
              <w:rPr>
                <w:rFonts w:hint="eastAsia"/>
              </w:rPr>
            </w:pPr>
            <w:r>
              <w:rPr>
                <w:rFonts w:hint="eastAsia"/>
                <w:lang w:val="en-US" w:eastAsia="zh-CN"/>
              </w:rPr>
              <w:t>1.</w:t>
            </w:r>
            <w:r>
              <w:rPr>
                <w:rFonts w:hint="eastAsia"/>
              </w:rPr>
              <w:t>人员严格按照招标文件及投标承诺配置；</w:t>
            </w:r>
          </w:p>
          <w:p>
            <w:pPr>
              <w:spacing w:line="240" w:lineRule="auto"/>
              <w:jc w:val="left"/>
              <w:rPr>
                <w:rFonts w:hint="eastAsia"/>
              </w:rPr>
            </w:pPr>
            <w:r>
              <w:rPr>
                <w:rFonts w:hint="eastAsia"/>
                <w:lang w:val="en-US" w:eastAsia="zh-CN"/>
              </w:rPr>
              <w:t>2.</w:t>
            </w:r>
            <w:r>
              <w:rPr>
                <w:rFonts w:hint="eastAsia"/>
              </w:rPr>
              <w:t>服务质量达到招标文件要求；</w:t>
            </w:r>
          </w:p>
          <w:p>
            <w:pPr>
              <w:spacing w:line="240" w:lineRule="auto"/>
              <w:jc w:val="left"/>
              <w:rPr>
                <w:rFonts w:hint="eastAsia"/>
              </w:rPr>
            </w:pPr>
            <w:r>
              <w:rPr>
                <w:rFonts w:hint="eastAsia"/>
                <w:lang w:val="en-US" w:eastAsia="zh-CN"/>
              </w:rPr>
              <w:t>3.</w:t>
            </w:r>
            <w:r>
              <w:rPr>
                <w:rFonts w:hint="eastAsia"/>
              </w:rPr>
              <w:t>对未能达到管理要求承担相应管理责任。</w:t>
            </w:r>
          </w:p>
          <w:p>
            <w:pPr>
              <w:spacing w:line="360" w:lineRule="exact"/>
              <w:jc w:val="left"/>
              <w:rPr>
                <w:rFonts w:hint="eastAsia" w:eastAsia="宋体"/>
                <w:b/>
                <w:bCs/>
                <w:szCs w:val="21"/>
                <w:lang w:bidi="ar"/>
              </w:rPr>
            </w:pPr>
            <w:r>
              <w:rPr>
                <w:rFonts w:hint="eastAsia"/>
                <w:b/>
                <w:bCs/>
                <w:szCs w:val="21"/>
                <w:lang w:eastAsia="zh-CN" w:bidi="ar"/>
              </w:rPr>
              <w:t>二、</w:t>
            </w:r>
            <w:r>
              <w:rPr>
                <w:rFonts w:hint="eastAsia" w:eastAsia="宋体"/>
                <w:b/>
                <w:bCs/>
                <w:szCs w:val="21"/>
                <w:lang w:bidi="ar"/>
              </w:rPr>
              <w:t>评审</w:t>
            </w:r>
            <w:r>
              <w:rPr>
                <w:rFonts w:hint="eastAsia"/>
                <w:b/>
                <w:bCs/>
                <w:szCs w:val="21"/>
                <w:lang w:eastAsia="zh-CN" w:bidi="ar"/>
              </w:rPr>
              <w:t>标准</w:t>
            </w:r>
            <w:r>
              <w:rPr>
                <w:rFonts w:hint="eastAsia" w:eastAsia="宋体"/>
                <w:b/>
                <w:bCs/>
                <w:szCs w:val="21"/>
                <w:lang w:bidi="ar"/>
              </w:rPr>
              <w:t>：</w:t>
            </w:r>
          </w:p>
          <w:p>
            <w:pPr>
              <w:spacing w:line="240" w:lineRule="auto"/>
              <w:jc w:val="left"/>
              <w:rPr>
                <w:rFonts w:hint="eastAsia" w:eastAsia="宋体"/>
                <w:szCs w:val="21"/>
                <w:lang w:bidi="ar"/>
              </w:rPr>
            </w:pPr>
            <w:r>
              <w:rPr>
                <w:rFonts w:hint="eastAsia"/>
              </w:rPr>
              <w:t>提出服务承诺的，得6分。要求提供承诺函（格式自拟）作为得分依据，未提供承诺或承诺内容不满足要求的不得分。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61" w:type="dxa"/>
            <w:gridSpan w:val="4"/>
            <w:vAlign w:val="center"/>
          </w:tcPr>
          <w:p>
            <w:pPr>
              <w:spacing w:line="360" w:lineRule="exact"/>
              <w:jc w:val="center"/>
              <w:rPr>
                <w:rFonts w:hint="eastAsia" w:ascii="宋体" w:hAnsi="宋体" w:cs="宋体"/>
                <w:sz w:val="22"/>
                <w:szCs w:val="22"/>
              </w:rPr>
            </w:pPr>
            <w:r>
              <w:rPr>
                <w:rFonts w:hint="eastAsia" w:ascii="宋体" w:hAnsi="宋体" w:cs="宋体"/>
                <w:sz w:val="22"/>
                <w:szCs w:val="22"/>
              </w:rPr>
              <w:t>商务部分</w:t>
            </w:r>
          </w:p>
        </w:tc>
        <w:tc>
          <w:tcPr>
            <w:tcW w:w="4806" w:type="dxa"/>
            <w:vAlign w:val="center"/>
          </w:tcPr>
          <w:p>
            <w:pPr>
              <w:jc w:val="center"/>
              <w:rPr>
                <w:rFonts w:hint="eastAsia" w:ascii="宋体" w:hAnsi="宋体" w:cs="宋体"/>
                <w:kern w:val="0"/>
                <w:sz w:val="22"/>
                <w:szCs w:val="22"/>
                <w:lang w:val="zh-CN" w:bidi="zh-CN"/>
              </w:rPr>
            </w:pPr>
            <w:r>
              <w:rPr>
                <w:rFonts w:hint="eastAsia" w:ascii="宋体" w:hAnsi="宋体" w:cs="宋体"/>
                <w:kern w:val="0"/>
                <w:sz w:val="22"/>
                <w:szCs w:val="22"/>
                <w:lang w:bidi="zh-CN"/>
              </w:rPr>
              <w:t>42</w:t>
            </w:r>
            <w:r>
              <w:rPr>
                <w:rFonts w:hint="eastAsia" w:ascii="宋体" w:hAnsi="宋体" w:cs="宋体"/>
                <w:kern w:val="0"/>
                <w:sz w:val="22"/>
                <w:szCs w:val="22"/>
                <w:lang w:val="zh-CN" w:bidi="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73" w:type="dxa"/>
            <w:vAlign w:val="center"/>
          </w:tcPr>
          <w:p>
            <w:pPr>
              <w:spacing w:line="360" w:lineRule="exact"/>
              <w:jc w:val="center"/>
              <w:rPr>
                <w:rFonts w:hint="eastAsia" w:ascii="宋体" w:hAnsi="宋体" w:cs="宋体"/>
                <w:sz w:val="22"/>
                <w:szCs w:val="22"/>
              </w:rPr>
            </w:pPr>
            <w:r>
              <w:rPr>
                <w:rFonts w:hint="eastAsia" w:ascii="宋体" w:hAnsi="宋体" w:cs="宋体"/>
                <w:sz w:val="22"/>
                <w:szCs w:val="22"/>
              </w:rPr>
              <w:t>序号</w:t>
            </w:r>
          </w:p>
        </w:tc>
        <w:tc>
          <w:tcPr>
            <w:tcW w:w="1270" w:type="dxa"/>
            <w:vAlign w:val="center"/>
          </w:tcPr>
          <w:p>
            <w:pPr>
              <w:spacing w:line="360" w:lineRule="exact"/>
              <w:jc w:val="center"/>
              <w:rPr>
                <w:rFonts w:hint="eastAsia" w:ascii="宋体" w:hAnsi="宋体" w:cs="宋体"/>
                <w:sz w:val="22"/>
                <w:szCs w:val="22"/>
              </w:rPr>
            </w:pPr>
            <w:r>
              <w:rPr>
                <w:rFonts w:hint="eastAsia" w:ascii="宋体" w:hAnsi="宋体" w:cs="宋体"/>
                <w:sz w:val="22"/>
                <w:szCs w:val="22"/>
              </w:rPr>
              <w:t>评分因素</w:t>
            </w:r>
          </w:p>
        </w:tc>
        <w:tc>
          <w:tcPr>
            <w:tcW w:w="933" w:type="dxa"/>
            <w:vAlign w:val="center"/>
          </w:tcPr>
          <w:p>
            <w:pPr>
              <w:spacing w:line="360" w:lineRule="exact"/>
              <w:jc w:val="center"/>
              <w:rPr>
                <w:rFonts w:hint="eastAsia" w:ascii="宋体" w:hAnsi="宋体" w:cs="宋体"/>
                <w:sz w:val="22"/>
                <w:szCs w:val="22"/>
              </w:rPr>
            </w:pPr>
            <w:r>
              <w:rPr>
                <w:rFonts w:hint="eastAsia" w:ascii="宋体" w:hAnsi="宋体" w:cs="宋体"/>
                <w:sz w:val="22"/>
                <w:szCs w:val="22"/>
              </w:rPr>
              <w:t>权重</w:t>
            </w:r>
          </w:p>
        </w:tc>
        <w:tc>
          <w:tcPr>
            <w:tcW w:w="1185" w:type="dxa"/>
            <w:vAlign w:val="center"/>
          </w:tcPr>
          <w:p>
            <w:pPr>
              <w:spacing w:line="360" w:lineRule="exact"/>
              <w:jc w:val="center"/>
              <w:rPr>
                <w:rFonts w:hint="eastAsia" w:ascii="宋体" w:hAnsi="宋体" w:cs="宋体"/>
                <w:sz w:val="22"/>
                <w:szCs w:val="22"/>
              </w:rPr>
            </w:pPr>
            <w:r>
              <w:rPr>
                <w:rFonts w:hint="eastAsia" w:ascii="宋体" w:hAnsi="宋体" w:cs="宋体"/>
                <w:sz w:val="22"/>
                <w:szCs w:val="22"/>
              </w:rPr>
              <w:t>评分方式</w:t>
            </w:r>
          </w:p>
        </w:tc>
        <w:tc>
          <w:tcPr>
            <w:tcW w:w="4806" w:type="dxa"/>
            <w:vAlign w:val="center"/>
          </w:tcPr>
          <w:p>
            <w:pPr>
              <w:spacing w:line="360" w:lineRule="exact"/>
              <w:ind w:firstLine="440" w:firstLineChars="200"/>
              <w:jc w:val="center"/>
              <w:rPr>
                <w:rFonts w:hint="eastAsia" w:ascii="宋体" w:hAnsi="宋体" w:cs="宋体"/>
                <w:sz w:val="22"/>
                <w:szCs w:val="22"/>
              </w:rPr>
            </w:pPr>
            <w:r>
              <w:rPr>
                <w:rFonts w:hint="eastAsia" w:ascii="宋体" w:hAnsi="宋体" w:cs="宋体"/>
                <w:sz w:val="22"/>
                <w:szCs w:val="22"/>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73" w:type="dxa"/>
            <w:vAlign w:val="center"/>
          </w:tcPr>
          <w:p>
            <w:pPr>
              <w:spacing w:line="360" w:lineRule="exact"/>
              <w:jc w:val="center"/>
              <w:rPr>
                <w:rFonts w:hint="eastAsia" w:ascii="宋体" w:hAnsi="宋体" w:cs="宋体"/>
                <w:sz w:val="22"/>
                <w:szCs w:val="22"/>
              </w:rPr>
            </w:pPr>
            <w:r>
              <w:rPr>
                <w:rFonts w:hint="eastAsia" w:ascii="宋体" w:hAnsi="宋体" w:cs="宋体"/>
                <w:sz w:val="22"/>
                <w:szCs w:val="22"/>
              </w:rPr>
              <w:t>1</w:t>
            </w:r>
          </w:p>
        </w:tc>
        <w:tc>
          <w:tcPr>
            <w:tcW w:w="1270" w:type="dxa"/>
            <w:vAlign w:val="center"/>
          </w:tcPr>
          <w:p>
            <w:pPr>
              <w:spacing w:line="360" w:lineRule="exact"/>
              <w:jc w:val="center"/>
              <w:rPr>
                <w:rFonts w:hint="eastAsia" w:ascii="宋体" w:hAnsi="宋体" w:cs="宋体"/>
                <w:sz w:val="22"/>
                <w:szCs w:val="22"/>
              </w:rPr>
            </w:pPr>
            <w:r>
              <w:rPr>
                <w:rFonts w:hint="eastAsia" w:ascii="宋体" w:hAnsi="宋体" w:cs="宋体"/>
                <w:sz w:val="22"/>
                <w:szCs w:val="22"/>
              </w:rPr>
              <w:t>类似项目业绩</w:t>
            </w:r>
          </w:p>
        </w:tc>
        <w:tc>
          <w:tcPr>
            <w:tcW w:w="933" w:type="dxa"/>
            <w:vAlign w:val="center"/>
          </w:tcPr>
          <w:p>
            <w:pPr>
              <w:spacing w:line="360" w:lineRule="exact"/>
              <w:jc w:val="center"/>
              <w:rPr>
                <w:rFonts w:hint="eastAsia" w:ascii="宋体" w:hAnsi="宋体" w:cs="宋体"/>
                <w:sz w:val="22"/>
                <w:szCs w:val="22"/>
              </w:rPr>
            </w:pPr>
            <w:r>
              <w:rPr>
                <w:rFonts w:hint="eastAsia" w:ascii="宋体" w:hAnsi="宋体" w:cs="宋体"/>
                <w:sz w:val="22"/>
                <w:szCs w:val="22"/>
              </w:rPr>
              <w:t>12</w:t>
            </w:r>
          </w:p>
        </w:tc>
        <w:tc>
          <w:tcPr>
            <w:tcW w:w="1185" w:type="dxa"/>
            <w:vAlign w:val="center"/>
          </w:tcPr>
          <w:p>
            <w:pPr>
              <w:spacing w:line="360" w:lineRule="exact"/>
              <w:jc w:val="left"/>
              <w:rPr>
                <w:rFonts w:hint="eastAsia" w:ascii="宋体" w:hAnsi="宋体" w:cs="宋体"/>
                <w:sz w:val="22"/>
                <w:szCs w:val="22"/>
              </w:rPr>
            </w:pPr>
            <w:r>
              <w:rPr>
                <w:rFonts w:hint="eastAsia" w:ascii="宋体" w:hAnsi="宋体" w:cs="宋体"/>
                <w:sz w:val="22"/>
                <w:szCs w:val="22"/>
              </w:rPr>
              <w:t>专家打分</w:t>
            </w:r>
          </w:p>
        </w:tc>
        <w:tc>
          <w:tcPr>
            <w:tcW w:w="4806" w:type="dxa"/>
          </w:tcPr>
          <w:p>
            <w:pPr>
              <w:jc w:val="left"/>
              <w:rPr>
                <w:rFonts w:ascii="宋体" w:hAnsi="宋体" w:cs="宋体"/>
                <w:b/>
                <w:bCs/>
                <w:szCs w:val="21"/>
              </w:rPr>
            </w:pPr>
            <w:r>
              <w:rPr>
                <w:rFonts w:hint="eastAsia" w:ascii="宋体" w:hAnsi="宋体" w:cs="宋体"/>
                <w:b/>
                <w:bCs/>
                <w:szCs w:val="21"/>
                <w:lang w:eastAsia="zh-CN"/>
              </w:rPr>
              <w:t>一、</w:t>
            </w:r>
            <w:r>
              <w:rPr>
                <w:rFonts w:hint="eastAsia" w:ascii="宋体" w:hAnsi="宋体" w:cs="宋体"/>
                <w:b/>
                <w:bCs/>
                <w:szCs w:val="21"/>
              </w:rPr>
              <w:t>评审内容：</w:t>
            </w:r>
          </w:p>
          <w:p>
            <w:pPr>
              <w:jc w:val="left"/>
              <w:rPr>
                <w:rFonts w:hint="eastAsia"/>
              </w:rPr>
            </w:pPr>
            <w:r>
              <w:rPr>
                <w:rFonts w:hint="eastAsia"/>
              </w:rPr>
              <w:t>投标人自近三年 (2022年</w:t>
            </w:r>
            <w:r>
              <w:rPr>
                <w:rFonts w:hint="eastAsia"/>
                <w:lang w:val="en-US" w:eastAsia="zh-CN"/>
              </w:rPr>
              <w:t>11</w:t>
            </w:r>
            <w:r>
              <w:rPr>
                <w:rFonts w:hint="eastAsia"/>
              </w:rPr>
              <w:t>月</w:t>
            </w:r>
            <w:r>
              <w:rPr>
                <w:rFonts w:hint="eastAsia"/>
                <w:lang w:val="en-US" w:eastAsia="zh-CN"/>
              </w:rPr>
              <w:t>21</w:t>
            </w:r>
            <w:r>
              <w:rPr>
                <w:rFonts w:hint="eastAsia"/>
              </w:rPr>
              <w:t>日至本项目开标之日前，以合同签订时间为准），每提供一个</w:t>
            </w:r>
            <w:r>
              <w:rPr>
                <w:rFonts w:hint="eastAsia"/>
                <w:lang w:val="en-US" w:eastAsia="zh-CN"/>
              </w:rPr>
              <w:t>水平衡项目</w:t>
            </w:r>
            <w:r>
              <w:rPr>
                <w:rFonts w:hint="eastAsia"/>
              </w:rPr>
              <w:t>业绩证明得</w:t>
            </w:r>
            <w:r>
              <w:rPr>
                <w:rFonts w:hint="eastAsia"/>
                <w:lang w:val="en-US" w:eastAsia="zh-CN"/>
              </w:rPr>
              <w:t>3分</w:t>
            </w:r>
            <w:r>
              <w:rPr>
                <w:rFonts w:hint="eastAsia"/>
              </w:rPr>
              <w:t>，最高得12分。</w:t>
            </w:r>
          </w:p>
          <w:p>
            <w:pPr>
              <w:jc w:val="left"/>
              <w:rPr>
                <w:rFonts w:ascii="宋体" w:hAnsi="宋体" w:cs="宋体"/>
                <w:b/>
                <w:bCs/>
                <w:szCs w:val="21"/>
              </w:rPr>
            </w:pPr>
            <w:r>
              <w:rPr>
                <w:rFonts w:hint="eastAsia" w:ascii="宋体" w:hAnsi="宋体" w:cs="宋体"/>
                <w:b/>
                <w:bCs/>
                <w:szCs w:val="21"/>
                <w:lang w:eastAsia="zh-CN"/>
              </w:rPr>
              <w:t>二、</w:t>
            </w:r>
            <w:r>
              <w:rPr>
                <w:rFonts w:hint="eastAsia" w:ascii="宋体" w:hAnsi="宋体" w:cs="宋体"/>
                <w:b/>
                <w:bCs/>
                <w:szCs w:val="21"/>
              </w:rPr>
              <w:t>评审</w:t>
            </w:r>
            <w:r>
              <w:rPr>
                <w:rFonts w:hint="eastAsia" w:ascii="宋体" w:hAnsi="宋体" w:cs="宋体"/>
                <w:b/>
                <w:bCs/>
                <w:szCs w:val="21"/>
                <w:lang w:eastAsia="zh-CN"/>
              </w:rPr>
              <w:t>标准</w:t>
            </w:r>
            <w:r>
              <w:rPr>
                <w:rFonts w:hint="eastAsia" w:ascii="宋体" w:hAnsi="宋体" w:cs="宋体"/>
                <w:b/>
                <w:bCs/>
                <w:szCs w:val="21"/>
              </w:rPr>
              <w:t>：</w:t>
            </w:r>
          </w:p>
          <w:p>
            <w:pPr>
              <w:rPr>
                <w:rFonts w:hint="eastAsia"/>
                <w:lang w:val="zh-CN"/>
              </w:rPr>
            </w:pPr>
            <w:r>
              <w:rPr>
                <w:rFonts w:hint="eastAsia"/>
              </w:rPr>
              <w:t>1.</w:t>
            </w:r>
            <w:r>
              <w:rPr>
                <w:rFonts w:hint="eastAsia"/>
                <w:lang w:val="zh-CN"/>
              </w:rPr>
              <w:t>要求提供近</w:t>
            </w:r>
            <w:r>
              <w:rPr>
                <w:rFonts w:hint="eastAsia"/>
                <w:lang w:val="zh-CN" w:eastAsia="zh-CN"/>
              </w:rPr>
              <w:t>三</w:t>
            </w:r>
            <w:r>
              <w:rPr>
                <w:rFonts w:hint="eastAsia"/>
                <w:lang w:val="zh-CN"/>
              </w:rPr>
              <w:t>年（</w:t>
            </w:r>
            <w:r>
              <w:rPr>
                <w:rFonts w:hint="eastAsia"/>
              </w:rPr>
              <w:t>2022年</w:t>
            </w:r>
            <w:r>
              <w:rPr>
                <w:rFonts w:hint="eastAsia"/>
                <w:lang w:val="en-US" w:eastAsia="zh-CN"/>
              </w:rPr>
              <w:t>11</w:t>
            </w:r>
            <w:r>
              <w:rPr>
                <w:rFonts w:hint="eastAsia"/>
              </w:rPr>
              <w:t>月</w:t>
            </w:r>
            <w:r>
              <w:rPr>
                <w:rFonts w:hint="eastAsia"/>
                <w:lang w:val="en-US" w:eastAsia="zh-CN"/>
              </w:rPr>
              <w:t>21</w:t>
            </w:r>
            <w:r>
              <w:rPr>
                <w:rFonts w:hint="eastAsia"/>
              </w:rPr>
              <w:t>日</w:t>
            </w:r>
            <w:r>
              <w:rPr>
                <w:rFonts w:hint="eastAsia"/>
                <w:lang w:val="zh-CN"/>
              </w:rPr>
              <w:t>至本项目发布招标公告之日）服务合同的复印件，未按要求提供或提</w:t>
            </w:r>
            <w:r>
              <w:rPr>
                <w:rFonts w:hint="default"/>
                <w:lang w:val="zh-CN"/>
              </w:rPr>
              <w:t>供不清晰导致专家无法判断的不得分。</w:t>
            </w:r>
          </w:p>
          <w:p>
            <w:r>
              <w:rPr>
                <w:rFonts w:hint="default"/>
                <w:lang w:val="zh-CN"/>
              </w:rPr>
              <w:t>2.同一单位续签合同仅算一个业绩。若投标人为分公司(分所）的，提供总</w:t>
            </w:r>
            <w:r>
              <w:rPr>
                <w:rFonts w:hint="eastAsia"/>
              </w:rPr>
              <w:t>公司(总所）业绩不计得分；若投标人为总公司(总所）的，提供分公司(分所）业绩不计得分。</w:t>
            </w:r>
          </w:p>
          <w:p>
            <w:pPr>
              <w:wordWrap/>
              <w:rPr>
                <w:rFonts w:hint="eastAsia" w:ascii="宋体" w:hAnsi="宋体" w:cs="宋体"/>
                <w:b/>
                <w:bCs/>
                <w:szCs w:val="22"/>
              </w:rPr>
            </w:pPr>
            <w:r>
              <w:rPr>
                <w:rFonts w:hint="eastAsia"/>
              </w:rPr>
              <w:t>3.以上资料均要求提供扫描件或复印件，原件备查。评分中出现无证明资料或专家无法凭所提供资料判断是否得分的情况，一律作不得分处理。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473" w:type="dxa"/>
            <w:vAlign w:val="center"/>
          </w:tcPr>
          <w:p>
            <w:pPr>
              <w:spacing w:line="360" w:lineRule="exact"/>
              <w:jc w:val="center"/>
              <w:rPr>
                <w:rFonts w:hint="eastAsia" w:ascii="宋体" w:hAnsi="宋体" w:cs="宋体"/>
                <w:sz w:val="22"/>
                <w:szCs w:val="22"/>
              </w:rPr>
            </w:pPr>
            <w:r>
              <w:rPr>
                <w:rFonts w:hint="eastAsia" w:ascii="宋体" w:hAnsi="宋体" w:cs="宋体"/>
                <w:sz w:val="22"/>
                <w:szCs w:val="22"/>
              </w:rPr>
              <w:t>2</w:t>
            </w:r>
          </w:p>
        </w:tc>
        <w:tc>
          <w:tcPr>
            <w:tcW w:w="1270" w:type="dxa"/>
            <w:vAlign w:val="center"/>
          </w:tcPr>
          <w:p>
            <w:pPr>
              <w:wordWrap w:val="0"/>
              <w:spacing w:line="360" w:lineRule="exact"/>
              <w:jc w:val="center"/>
              <w:rPr>
                <w:rFonts w:hint="eastAsia" w:ascii="宋体" w:hAnsi="宋体" w:cs="宋体"/>
                <w:sz w:val="22"/>
                <w:szCs w:val="22"/>
              </w:rPr>
            </w:pPr>
            <w:r>
              <w:rPr>
                <w:rFonts w:hint="eastAsia" w:ascii="宋体" w:hAnsi="宋体" w:cs="宋体"/>
                <w:sz w:val="22"/>
                <w:szCs w:val="22"/>
              </w:rPr>
              <w:t>项目负责人（仅限1人）</w:t>
            </w:r>
          </w:p>
        </w:tc>
        <w:tc>
          <w:tcPr>
            <w:tcW w:w="933" w:type="dxa"/>
            <w:vAlign w:val="center"/>
          </w:tcPr>
          <w:p>
            <w:pPr>
              <w:wordWrap w:val="0"/>
              <w:spacing w:line="360" w:lineRule="exact"/>
              <w:jc w:val="center"/>
              <w:rPr>
                <w:rFonts w:hint="eastAsia" w:ascii="宋体" w:hAnsi="宋体" w:cs="宋体"/>
                <w:sz w:val="22"/>
                <w:szCs w:val="22"/>
              </w:rPr>
            </w:pPr>
            <w:r>
              <w:rPr>
                <w:rFonts w:hint="eastAsia" w:ascii="宋体" w:hAnsi="宋体" w:cs="宋体"/>
                <w:sz w:val="22"/>
                <w:szCs w:val="22"/>
              </w:rPr>
              <w:t>7</w:t>
            </w:r>
          </w:p>
        </w:tc>
        <w:tc>
          <w:tcPr>
            <w:tcW w:w="1185" w:type="dxa"/>
            <w:vAlign w:val="center"/>
          </w:tcPr>
          <w:p>
            <w:pPr>
              <w:spacing w:line="360" w:lineRule="exact"/>
              <w:jc w:val="center"/>
              <w:rPr>
                <w:rFonts w:hint="eastAsia" w:ascii="宋体" w:hAnsi="宋体" w:cs="宋体"/>
                <w:sz w:val="22"/>
                <w:szCs w:val="22"/>
              </w:rPr>
            </w:pPr>
            <w:r>
              <w:rPr>
                <w:rFonts w:hint="eastAsia" w:ascii="宋体" w:hAnsi="宋体" w:cs="宋体"/>
                <w:sz w:val="22"/>
                <w:szCs w:val="22"/>
              </w:rPr>
              <w:t>专家打分</w:t>
            </w:r>
          </w:p>
        </w:tc>
        <w:tc>
          <w:tcPr>
            <w:tcW w:w="4806" w:type="dxa"/>
            <w:vAlign w:val="center"/>
          </w:tcPr>
          <w:p>
            <w:pPr>
              <w:jc w:val="left"/>
              <w:rPr>
                <w:rFonts w:ascii="宋体" w:hAnsi="宋体" w:cs="宋体"/>
                <w:b/>
                <w:bCs/>
                <w:szCs w:val="21"/>
              </w:rPr>
            </w:pPr>
            <w:r>
              <w:rPr>
                <w:rFonts w:hint="eastAsia" w:ascii="宋体" w:hAnsi="宋体" w:cs="宋体"/>
                <w:b/>
                <w:bCs/>
                <w:szCs w:val="21"/>
                <w:lang w:eastAsia="zh-CN"/>
              </w:rPr>
              <w:t>一、</w:t>
            </w:r>
            <w:r>
              <w:rPr>
                <w:rFonts w:hint="eastAsia" w:ascii="宋体" w:hAnsi="宋体" w:cs="宋体"/>
                <w:b/>
                <w:bCs/>
                <w:szCs w:val="21"/>
              </w:rPr>
              <w:t>评审内容：</w:t>
            </w:r>
          </w:p>
          <w:p>
            <w:pPr>
              <w:pStyle w:val="18"/>
              <w:spacing w:before="179" w:line="289" w:lineRule="auto"/>
              <w:ind w:left="69" w:right="53" w:firstLine="491"/>
            </w:pPr>
            <w:r>
              <w:rPr>
                <w:spacing w:val="4"/>
              </w:rPr>
              <w:t>1.具有</w:t>
            </w:r>
            <w:r>
              <w:rPr>
                <w:rFonts w:hint="eastAsia"/>
                <w:spacing w:val="4"/>
                <w:lang w:val="en-US" w:eastAsia="zh-CN"/>
              </w:rPr>
              <w:t>给排水</w:t>
            </w:r>
            <w:r>
              <w:rPr>
                <w:spacing w:val="4"/>
              </w:rPr>
              <w:t>或环境类专业</w:t>
            </w:r>
            <w:r>
              <w:rPr>
                <w:rFonts w:hint="eastAsia"/>
                <w:spacing w:val="-5"/>
                <w:lang w:val="en-US" w:eastAsia="zh-CN"/>
              </w:rPr>
              <w:t>高</w:t>
            </w:r>
            <w:r>
              <w:rPr>
                <w:spacing w:val="-5"/>
              </w:rPr>
              <w:t>级及以上职称的得</w:t>
            </w:r>
            <w:r>
              <w:rPr>
                <w:spacing w:val="-30"/>
              </w:rPr>
              <w:t xml:space="preserve"> </w:t>
            </w:r>
            <w:r>
              <w:rPr>
                <w:rFonts w:hint="eastAsia"/>
                <w:spacing w:val="-5"/>
                <w:lang w:val="en-US" w:eastAsia="zh-CN"/>
              </w:rPr>
              <w:t>4</w:t>
            </w:r>
            <w:r>
              <w:rPr>
                <w:spacing w:val="-5"/>
              </w:rPr>
              <w:t>分；</w:t>
            </w:r>
          </w:p>
          <w:p>
            <w:pPr>
              <w:pStyle w:val="18"/>
              <w:spacing w:before="182" w:line="289" w:lineRule="auto"/>
              <w:ind w:left="63" w:right="53" w:firstLine="481"/>
            </w:pPr>
            <w:r>
              <w:rPr>
                <w:spacing w:val="-6"/>
              </w:rPr>
              <w:t>2.具有建筑、电气、暖通、给排水、能源、环境</w:t>
            </w:r>
            <w:r>
              <w:rPr>
                <w:spacing w:val="-3"/>
              </w:rPr>
              <w:t>专业（任一专业即可）</w:t>
            </w:r>
            <w:r>
              <w:rPr>
                <w:rFonts w:hint="eastAsia"/>
                <w:spacing w:val="-3"/>
                <w:lang w:val="en-US" w:eastAsia="zh-CN"/>
              </w:rPr>
              <w:t>本科</w:t>
            </w:r>
            <w:r>
              <w:rPr>
                <w:spacing w:val="-3"/>
              </w:rPr>
              <w:t>及以上学历的得</w:t>
            </w:r>
            <w:r>
              <w:rPr>
                <w:rFonts w:hint="eastAsia"/>
                <w:spacing w:val="-18"/>
                <w:lang w:val="en-US" w:eastAsia="zh-CN"/>
              </w:rPr>
              <w:t>3</w:t>
            </w:r>
            <w:r>
              <w:rPr>
                <w:spacing w:val="-48"/>
              </w:rPr>
              <w:t xml:space="preserve"> </w:t>
            </w:r>
            <w:r>
              <w:rPr>
                <w:spacing w:val="-3"/>
              </w:rPr>
              <w:t>分；</w:t>
            </w:r>
          </w:p>
          <w:p>
            <w:pPr>
              <w:pStyle w:val="18"/>
              <w:spacing w:before="180" w:line="219" w:lineRule="auto"/>
              <w:ind w:left="74"/>
            </w:pPr>
            <w:r>
              <w:rPr>
                <w:b/>
                <w:bCs/>
                <w:spacing w:val="-5"/>
              </w:rPr>
              <w:t>（二）评分</w:t>
            </w:r>
            <w:r>
              <w:rPr>
                <w:rFonts w:hint="eastAsia"/>
                <w:b/>
                <w:bCs/>
                <w:spacing w:val="-5"/>
                <w:lang w:val="en-US" w:eastAsia="zh-CN"/>
              </w:rPr>
              <w:t>标准</w:t>
            </w:r>
            <w:r>
              <w:rPr>
                <w:b/>
                <w:bCs/>
                <w:spacing w:val="-5"/>
              </w:rPr>
              <w:t>：</w:t>
            </w:r>
          </w:p>
          <w:p>
            <w:pPr>
              <w:pStyle w:val="18"/>
              <w:spacing w:before="185" w:line="288" w:lineRule="auto"/>
              <w:ind w:left="68" w:right="53" w:firstLine="12"/>
            </w:pPr>
            <w:r>
              <w:rPr>
                <w:spacing w:val="-6"/>
              </w:rPr>
              <w:t>1.要求提供人员职称证书、学历证、学位证、奖</w:t>
            </w:r>
            <w:r>
              <w:rPr>
                <w:spacing w:val="-7"/>
              </w:rPr>
              <w:t>项或</w:t>
            </w:r>
            <w:r>
              <w:rPr>
                <w:spacing w:val="-1"/>
              </w:rPr>
              <w:t>荣誉证书（公示名单）作为得分依据。</w:t>
            </w:r>
          </w:p>
          <w:p>
            <w:pPr>
              <w:pStyle w:val="18"/>
              <w:spacing w:before="185" w:line="339" w:lineRule="auto"/>
              <w:ind w:left="62" w:right="22" w:firstLine="2"/>
            </w:pPr>
            <w:r>
              <w:rPr>
                <w:spacing w:val="4"/>
              </w:rPr>
              <w:t>2.同时提供该人员开标日前连续三个月载有社保部</w:t>
            </w:r>
            <w:r>
              <w:rPr>
                <w:spacing w:val="-6"/>
              </w:rPr>
              <w:t>门公章的社保缴交证明材料（如开标日上一个月的社保材料因社保部门原因暂时无法取得，则可以往前顺</w:t>
            </w:r>
            <w:r>
              <w:rPr>
                <w:spacing w:val="-4"/>
              </w:rPr>
              <w:t>延一个月）</w:t>
            </w:r>
            <w:r>
              <w:rPr>
                <w:spacing w:val="-4"/>
                <w:sz w:val="20"/>
                <w:szCs w:val="20"/>
              </w:rPr>
              <w:t>。</w:t>
            </w:r>
            <w:r>
              <w:rPr>
                <w:spacing w:val="-4"/>
              </w:rPr>
              <w:t>如投标人注册成立时间不足</w:t>
            </w:r>
            <w:r>
              <w:rPr>
                <w:spacing w:val="-36"/>
              </w:rPr>
              <w:t xml:space="preserve"> </w:t>
            </w:r>
            <w:r>
              <w:rPr>
                <w:spacing w:val="-4"/>
              </w:rPr>
              <w:t>3</w:t>
            </w:r>
            <w:r>
              <w:rPr>
                <w:spacing w:val="-50"/>
              </w:rPr>
              <w:t xml:space="preserve"> </w:t>
            </w:r>
            <w:r>
              <w:rPr>
                <w:spacing w:val="-4"/>
              </w:rPr>
              <w:t>个月的，</w:t>
            </w:r>
            <w:r>
              <w:rPr>
                <w:spacing w:val="-6"/>
              </w:rPr>
              <w:t>自有员工的社保证明以承诺函（格式自定，承诺拟安排的人员为自有员工即可）代替。未按要求提供人员</w:t>
            </w:r>
            <w:r>
              <w:rPr>
                <w:spacing w:val="-1"/>
              </w:rPr>
              <w:t>社保证明的，投入的该人员作不得分处理。</w:t>
            </w:r>
          </w:p>
          <w:p>
            <w:pPr>
              <w:spacing w:line="240" w:lineRule="auto"/>
              <w:jc w:val="left"/>
              <w:rPr>
                <w:rStyle w:val="11"/>
                <w:rFonts w:hint="eastAsia" w:ascii="宋体" w:hAnsi="宋体" w:cs="宋体"/>
                <w:b w:val="0"/>
                <w:kern w:val="0"/>
                <w:szCs w:val="21"/>
                <w:lang w:bidi="ar"/>
              </w:rPr>
            </w:pPr>
            <w:r>
              <w:rPr>
                <w:spacing w:val="-6"/>
              </w:rPr>
              <w:t>3.以上资料均要求提供复印件（或官方网站截图）加盖投标人公章，原件备查。评分中出现无证明资料或专家无法凭所提供资料判断是否得分的情况，一律作</w:t>
            </w:r>
            <w:r>
              <w:rPr>
                <w:spacing w:val="-2"/>
              </w:rPr>
              <w:t>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73" w:type="dxa"/>
            <w:vAlign w:val="center"/>
          </w:tcPr>
          <w:p>
            <w:pPr>
              <w:spacing w:line="360" w:lineRule="exact"/>
              <w:jc w:val="center"/>
              <w:rPr>
                <w:rFonts w:hint="eastAsia" w:ascii="宋体" w:hAnsi="宋体" w:cs="宋体"/>
                <w:sz w:val="22"/>
                <w:szCs w:val="22"/>
              </w:rPr>
            </w:pPr>
            <w:r>
              <w:rPr>
                <w:rFonts w:hint="eastAsia" w:ascii="宋体" w:hAnsi="宋体" w:cs="宋体"/>
                <w:sz w:val="22"/>
                <w:szCs w:val="22"/>
              </w:rPr>
              <w:t>3</w:t>
            </w:r>
          </w:p>
        </w:tc>
        <w:tc>
          <w:tcPr>
            <w:tcW w:w="1270" w:type="dxa"/>
            <w:vAlign w:val="center"/>
          </w:tcPr>
          <w:p>
            <w:pPr>
              <w:wordWrap w:val="0"/>
              <w:spacing w:line="360" w:lineRule="exact"/>
            </w:pPr>
            <w:r>
              <w:rPr>
                <w:rFonts w:hint="eastAsia" w:ascii="宋体" w:hAnsi="宋体" w:cs="宋体"/>
                <w:sz w:val="22"/>
                <w:szCs w:val="22"/>
              </w:rPr>
              <w:t>项目团队</w:t>
            </w:r>
          </w:p>
        </w:tc>
        <w:tc>
          <w:tcPr>
            <w:tcW w:w="933" w:type="dxa"/>
            <w:vAlign w:val="center"/>
          </w:tcPr>
          <w:p>
            <w:pPr>
              <w:wordWrap w:val="0"/>
              <w:spacing w:line="360" w:lineRule="exact"/>
              <w:jc w:val="center"/>
              <w:rPr>
                <w:rFonts w:hint="eastAsia" w:ascii="宋体" w:hAnsi="宋体" w:cs="宋体"/>
                <w:sz w:val="22"/>
                <w:szCs w:val="22"/>
              </w:rPr>
            </w:pPr>
            <w:r>
              <w:rPr>
                <w:rFonts w:hint="eastAsia" w:ascii="宋体" w:hAnsi="宋体" w:cs="宋体"/>
                <w:sz w:val="22"/>
                <w:szCs w:val="22"/>
              </w:rPr>
              <w:t>12</w:t>
            </w:r>
          </w:p>
        </w:tc>
        <w:tc>
          <w:tcPr>
            <w:tcW w:w="1185" w:type="dxa"/>
            <w:vAlign w:val="center"/>
          </w:tcPr>
          <w:p>
            <w:pPr>
              <w:spacing w:line="360" w:lineRule="exact"/>
              <w:jc w:val="center"/>
              <w:rPr>
                <w:rFonts w:hint="eastAsia" w:ascii="宋体" w:hAnsi="宋体" w:cs="宋体"/>
                <w:sz w:val="22"/>
                <w:szCs w:val="22"/>
              </w:rPr>
            </w:pPr>
            <w:r>
              <w:rPr>
                <w:rFonts w:hint="eastAsia" w:ascii="宋体" w:hAnsi="宋体" w:cs="宋体"/>
                <w:sz w:val="22"/>
                <w:szCs w:val="22"/>
              </w:rPr>
              <w:t>专家打分</w:t>
            </w:r>
          </w:p>
        </w:tc>
        <w:tc>
          <w:tcPr>
            <w:tcW w:w="4806" w:type="dxa"/>
            <w:vAlign w:val="center"/>
          </w:tcPr>
          <w:p>
            <w:pPr>
              <w:jc w:val="left"/>
              <w:rPr>
                <w:rFonts w:ascii="宋体" w:hAnsi="宋体" w:cs="宋体"/>
                <w:b/>
                <w:bCs/>
                <w:szCs w:val="21"/>
              </w:rPr>
            </w:pPr>
            <w:r>
              <w:rPr>
                <w:rFonts w:hint="eastAsia" w:ascii="宋体" w:hAnsi="宋体" w:cs="宋体"/>
                <w:b/>
                <w:bCs/>
                <w:szCs w:val="21"/>
                <w:lang w:eastAsia="zh-CN"/>
              </w:rPr>
              <w:t>一、</w:t>
            </w:r>
            <w:r>
              <w:rPr>
                <w:rFonts w:hint="eastAsia" w:ascii="宋体" w:hAnsi="宋体" w:cs="宋体"/>
                <w:b/>
                <w:bCs/>
                <w:szCs w:val="21"/>
              </w:rPr>
              <w:t>评审内容：</w:t>
            </w:r>
          </w:p>
          <w:p>
            <w:pPr>
              <w:pStyle w:val="18"/>
              <w:spacing w:before="182" w:line="360" w:lineRule="auto"/>
              <w:ind w:left="63" w:right="53" w:firstLine="479"/>
            </w:pPr>
            <w:r>
              <w:rPr>
                <w:spacing w:val="-6"/>
              </w:rPr>
              <w:t>拟安排项目主要团队成员为投标单位员工（</w:t>
            </w:r>
            <w:r>
              <w:rPr>
                <w:spacing w:val="-7"/>
              </w:rPr>
              <w:t>以社</w:t>
            </w:r>
            <w:r>
              <w:rPr>
                <w:spacing w:val="-2"/>
              </w:rPr>
              <w:t>保为准</w:t>
            </w:r>
            <w:r>
              <w:rPr>
                <w:spacing w:val="8"/>
              </w:rPr>
              <w:t>），</w:t>
            </w:r>
            <w:r>
              <w:rPr>
                <w:spacing w:val="-2"/>
              </w:rPr>
              <w:t>否则该人员情况不计分。</w:t>
            </w:r>
          </w:p>
          <w:p>
            <w:pPr>
              <w:pStyle w:val="18"/>
              <w:spacing w:before="3" w:line="312" w:lineRule="auto"/>
              <w:ind w:left="63" w:firstLine="16"/>
            </w:pPr>
            <w:r>
              <w:rPr>
                <w:spacing w:val="-7"/>
              </w:rPr>
              <w:t>1.具有能源或</w:t>
            </w:r>
            <w:r>
              <w:rPr>
                <w:rFonts w:hint="eastAsia"/>
                <w:spacing w:val="-7"/>
                <w:lang w:val="en-US" w:eastAsia="zh-CN"/>
              </w:rPr>
              <w:t>给排水</w:t>
            </w:r>
            <w:r>
              <w:rPr>
                <w:spacing w:val="-7"/>
              </w:rPr>
              <w:t>类专业（任一专业即可）</w:t>
            </w:r>
            <w:r>
              <w:rPr>
                <w:rFonts w:hint="eastAsia"/>
                <w:spacing w:val="-7"/>
                <w:lang w:val="en-US" w:eastAsia="zh-CN"/>
              </w:rPr>
              <w:t>本科</w:t>
            </w:r>
            <w:r>
              <w:rPr>
                <w:spacing w:val="-7"/>
              </w:rPr>
              <w:t>及以上学历的，每提供</w:t>
            </w:r>
            <w:r>
              <w:rPr>
                <w:spacing w:val="-26"/>
              </w:rPr>
              <w:t xml:space="preserve"> </w:t>
            </w:r>
            <w:r>
              <w:rPr>
                <w:spacing w:val="-7"/>
              </w:rPr>
              <w:t>1</w:t>
            </w:r>
            <w:r>
              <w:rPr>
                <w:spacing w:val="-48"/>
              </w:rPr>
              <w:t xml:space="preserve"> </w:t>
            </w:r>
            <w:r>
              <w:rPr>
                <w:spacing w:val="-7"/>
              </w:rPr>
              <w:t>人得</w:t>
            </w:r>
            <w:r>
              <w:rPr>
                <w:spacing w:val="-33"/>
              </w:rPr>
              <w:t xml:space="preserve"> </w:t>
            </w:r>
            <w:r>
              <w:rPr>
                <w:rFonts w:hint="eastAsia"/>
                <w:spacing w:val="-7"/>
                <w:lang w:val="en-US" w:eastAsia="zh-CN"/>
              </w:rPr>
              <w:t>2</w:t>
            </w:r>
            <w:r>
              <w:rPr>
                <w:spacing w:val="-7"/>
              </w:rPr>
              <w:t>分，</w:t>
            </w:r>
            <w:r>
              <w:rPr>
                <w:spacing w:val="-5"/>
              </w:rPr>
              <w:t>本项最高得</w:t>
            </w:r>
            <w:r>
              <w:rPr>
                <w:rFonts w:hint="eastAsia"/>
                <w:spacing w:val="-46"/>
                <w:lang w:val="en-US" w:eastAsia="zh-CN"/>
              </w:rPr>
              <w:t>6</w:t>
            </w:r>
            <w:r>
              <w:rPr>
                <w:spacing w:val="-5"/>
              </w:rPr>
              <w:t>分；</w:t>
            </w:r>
          </w:p>
          <w:p>
            <w:pPr>
              <w:pStyle w:val="18"/>
              <w:spacing w:before="183" w:line="313" w:lineRule="auto"/>
              <w:ind w:left="63" w:firstLine="1"/>
            </w:pPr>
            <w:r>
              <w:rPr>
                <w:spacing w:val="-6"/>
              </w:rPr>
              <w:t>2.具</w:t>
            </w:r>
            <w:r>
              <w:rPr>
                <w:rFonts w:hint="eastAsia"/>
                <w:spacing w:val="-6"/>
                <w:lang w:val="en-US" w:eastAsia="zh-CN"/>
              </w:rPr>
              <w:t>有</w:t>
            </w:r>
            <w:r>
              <w:rPr>
                <w:spacing w:val="-6"/>
              </w:rPr>
              <w:t>能源或</w:t>
            </w:r>
            <w:r>
              <w:rPr>
                <w:rFonts w:hint="eastAsia"/>
                <w:spacing w:val="-7"/>
                <w:lang w:val="en-US" w:eastAsia="zh-CN"/>
              </w:rPr>
              <w:t>给排水</w:t>
            </w:r>
            <w:r>
              <w:rPr>
                <w:spacing w:val="-7"/>
              </w:rPr>
              <w:t>类</w:t>
            </w:r>
            <w:r>
              <w:rPr>
                <w:spacing w:val="-6"/>
              </w:rPr>
              <w:t>专业（任一</w:t>
            </w:r>
            <w:r>
              <w:rPr>
                <w:spacing w:val="-7"/>
              </w:rPr>
              <w:t>专业即可）中级及以上职称的，每提供</w:t>
            </w:r>
            <w:r>
              <w:rPr>
                <w:spacing w:val="-26"/>
              </w:rPr>
              <w:t xml:space="preserve"> </w:t>
            </w:r>
            <w:r>
              <w:rPr>
                <w:spacing w:val="-7"/>
              </w:rPr>
              <w:t>1</w:t>
            </w:r>
            <w:r>
              <w:rPr>
                <w:spacing w:val="-48"/>
              </w:rPr>
              <w:t xml:space="preserve"> </w:t>
            </w:r>
            <w:r>
              <w:rPr>
                <w:spacing w:val="-7"/>
              </w:rPr>
              <w:t>人得</w:t>
            </w:r>
            <w:r>
              <w:rPr>
                <w:spacing w:val="-33"/>
              </w:rPr>
              <w:t xml:space="preserve"> </w:t>
            </w:r>
            <w:r>
              <w:rPr>
                <w:rFonts w:hint="eastAsia"/>
                <w:spacing w:val="-7"/>
                <w:lang w:val="en-US" w:eastAsia="zh-CN"/>
              </w:rPr>
              <w:t>2</w:t>
            </w:r>
            <w:r>
              <w:rPr>
                <w:spacing w:val="-48"/>
              </w:rPr>
              <w:t xml:space="preserve"> </w:t>
            </w:r>
            <w:r>
              <w:rPr>
                <w:spacing w:val="-7"/>
              </w:rPr>
              <w:t>分，</w:t>
            </w:r>
            <w:r>
              <w:rPr>
                <w:spacing w:val="-5"/>
              </w:rPr>
              <w:t>本项最高得</w:t>
            </w:r>
            <w:r>
              <w:rPr>
                <w:rFonts w:hint="eastAsia"/>
                <w:spacing w:val="-46"/>
                <w:lang w:val="en-US" w:eastAsia="zh-CN"/>
              </w:rPr>
              <w:t>6</w:t>
            </w:r>
            <w:r>
              <w:rPr>
                <w:spacing w:val="-5"/>
              </w:rPr>
              <w:t>分；</w:t>
            </w:r>
          </w:p>
          <w:p>
            <w:pPr>
              <w:pStyle w:val="18"/>
              <w:spacing w:before="105" w:line="219" w:lineRule="auto"/>
              <w:ind w:left="89"/>
            </w:pPr>
            <w:r>
              <w:rPr>
                <w:b/>
                <w:bCs/>
                <w:spacing w:val="-2"/>
              </w:rPr>
              <w:t>以上累计得分，最高得</w:t>
            </w:r>
            <w:r>
              <w:rPr>
                <w:rFonts w:hint="eastAsia"/>
                <w:b/>
                <w:bCs/>
                <w:spacing w:val="-2"/>
                <w:lang w:val="en-US" w:eastAsia="zh-CN"/>
              </w:rPr>
              <w:t>12</w:t>
            </w:r>
            <w:r>
              <w:rPr>
                <w:b/>
                <w:bCs/>
                <w:spacing w:val="-2"/>
              </w:rPr>
              <w:t>分。没有不得分。</w:t>
            </w:r>
          </w:p>
          <w:p>
            <w:pPr>
              <w:pStyle w:val="18"/>
              <w:spacing w:before="262" w:line="219" w:lineRule="auto"/>
              <w:ind w:left="74"/>
            </w:pPr>
            <w:r>
              <w:rPr>
                <w:b/>
                <w:bCs/>
                <w:spacing w:val="-5"/>
              </w:rPr>
              <w:t>（二）评分</w:t>
            </w:r>
            <w:r>
              <w:rPr>
                <w:rFonts w:hint="eastAsia"/>
                <w:b/>
                <w:bCs/>
                <w:spacing w:val="-5"/>
                <w:lang w:val="en-US" w:eastAsia="zh-CN"/>
              </w:rPr>
              <w:t>内容</w:t>
            </w:r>
            <w:r>
              <w:rPr>
                <w:b/>
                <w:bCs/>
                <w:spacing w:val="-5"/>
              </w:rPr>
              <w:t>：</w:t>
            </w:r>
          </w:p>
          <w:p>
            <w:pPr>
              <w:pStyle w:val="18"/>
              <w:spacing w:before="105" w:line="288" w:lineRule="auto"/>
              <w:ind w:left="67" w:right="53" w:firstLine="12"/>
            </w:pPr>
            <w:r>
              <w:rPr>
                <w:spacing w:val="-6"/>
              </w:rPr>
              <w:t>1.要求提供人员职称证书、学历证、学位证、资</w:t>
            </w:r>
            <w:r>
              <w:rPr>
                <w:spacing w:val="-7"/>
              </w:rPr>
              <w:t>格证</w:t>
            </w:r>
            <w:r>
              <w:rPr>
                <w:spacing w:val="-1"/>
              </w:rPr>
              <w:t>书作为得分依据。同一人员不重复计算。</w:t>
            </w:r>
          </w:p>
          <w:p>
            <w:pPr>
              <w:pStyle w:val="18"/>
              <w:spacing w:before="185" w:line="339" w:lineRule="auto"/>
              <w:ind w:left="62" w:firstLine="2"/>
            </w:pPr>
            <w:r>
              <w:rPr>
                <w:spacing w:val="4"/>
              </w:rPr>
              <w:t>2.同时提供对应人员开标日前连续三个月载有社保</w:t>
            </w:r>
            <w:r>
              <w:rPr>
                <w:spacing w:val="-6"/>
              </w:rPr>
              <w:t>部门公章的社保缴交证明材料（如开标日上一个月的社保材料因社保部门原因暂时无法取得，则可以往前</w:t>
            </w:r>
            <w:r>
              <w:rPr>
                <w:spacing w:val="-14"/>
              </w:rPr>
              <w:t>顺延一个月）。如投标人注册成立时间不足</w:t>
            </w:r>
            <w:r>
              <w:rPr>
                <w:spacing w:val="-46"/>
              </w:rPr>
              <w:t xml:space="preserve"> </w:t>
            </w:r>
            <w:r>
              <w:rPr>
                <w:spacing w:val="-14"/>
              </w:rPr>
              <w:t>3</w:t>
            </w:r>
            <w:r>
              <w:rPr>
                <w:spacing w:val="-50"/>
              </w:rPr>
              <w:t xml:space="preserve"> </w:t>
            </w:r>
            <w:r>
              <w:rPr>
                <w:spacing w:val="-14"/>
              </w:rPr>
              <w:t>个</w:t>
            </w:r>
            <w:r>
              <w:rPr>
                <w:spacing w:val="-15"/>
              </w:rPr>
              <w:t>月的，</w:t>
            </w:r>
            <w:r>
              <w:rPr>
                <w:spacing w:val="-6"/>
              </w:rPr>
              <w:t>自有员工的社保证明以承诺函（格式自定，承诺拟安排的人员为自有员工即可）代替。未按要求提供人员</w:t>
            </w:r>
            <w:r>
              <w:rPr>
                <w:spacing w:val="-1"/>
              </w:rPr>
              <w:t>社保证明的，投入的该人员作不得分处理。</w:t>
            </w:r>
          </w:p>
          <w:p>
            <w:pPr>
              <w:rPr>
                <w:szCs w:val="21"/>
              </w:rPr>
            </w:pPr>
            <w:r>
              <w:rPr>
                <w:spacing w:val="-6"/>
              </w:rPr>
              <w:t>3.以上资料均要求提供复印件（或官方网站截图）加盖投标人公章，原件备查。评分中出现无证明资料或专家无法凭所提供资料判断是否得分的情况，一律作</w:t>
            </w:r>
            <w:r>
              <w:rPr>
                <w:spacing w:val="-2"/>
              </w:rPr>
              <w:t>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1" w:hRule="atLeast"/>
        </w:trPr>
        <w:tc>
          <w:tcPr>
            <w:tcW w:w="473" w:type="dxa"/>
            <w:vAlign w:val="center"/>
          </w:tcPr>
          <w:p>
            <w:pPr>
              <w:spacing w:line="360" w:lineRule="exact"/>
              <w:jc w:val="center"/>
              <w:rPr>
                <w:rFonts w:hint="eastAsia" w:ascii="宋体" w:hAnsi="宋体" w:cs="宋体"/>
                <w:sz w:val="22"/>
                <w:szCs w:val="22"/>
              </w:rPr>
            </w:pPr>
            <w:r>
              <w:rPr>
                <w:rFonts w:hint="eastAsia" w:ascii="宋体" w:hAnsi="宋体" w:cs="宋体"/>
                <w:sz w:val="22"/>
                <w:szCs w:val="22"/>
              </w:rPr>
              <w:t>4</w:t>
            </w:r>
          </w:p>
        </w:tc>
        <w:tc>
          <w:tcPr>
            <w:tcW w:w="1270" w:type="dxa"/>
            <w:vAlign w:val="center"/>
          </w:tcPr>
          <w:p>
            <w:pPr>
              <w:wordWrap w:val="0"/>
              <w:spacing w:line="360" w:lineRule="exact"/>
              <w:jc w:val="center"/>
              <w:rPr>
                <w:rFonts w:hint="eastAsia" w:ascii="宋体" w:hAnsi="宋体" w:cs="宋体"/>
                <w:sz w:val="22"/>
                <w:szCs w:val="22"/>
              </w:rPr>
            </w:pPr>
            <w:r>
              <w:rPr>
                <w:rFonts w:hint="eastAsia" w:ascii="宋体" w:hAnsi="宋体" w:cs="宋体"/>
                <w:sz w:val="22"/>
                <w:szCs w:val="22"/>
              </w:rPr>
              <w:t>供应商认证情况</w:t>
            </w:r>
          </w:p>
        </w:tc>
        <w:tc>
          <w:tcPr>
            <w:tcW w:w="933" w:type="dxa"/>
            <w:vAlign w:val="center"/>
          </w:tcPr>
          <w:p>
            <w:pPr>
              <w:wordWrap w:val="0"/>
              <w:spacing w:line="360" w:lineRule="exact"/>
              <w:jc w:val="center"/>
              <w:rPr>
                <w:rFonts w:hint="eastAsia" w:ascii="宋体" w:hAnsi="宋体" w:cs="宋体"/>
                <w:sz w:val="22"/>
                <w:szCs w:val="22"/>
              </w:rPr>
            </w:pPr>
            <w:r>
              <w:rPr>
                <w:rFonts w:hint="eastAsia" w:ascii="宋体" w:hAnsi="宋体" w:cs="宋体"/>
                <w:sz w:val="22"/>
                <w:szCs w:val="22"/>
              </w:rPr>
              <w:t>6</w:t>
            </w:r>
          </w:p>
        </w:tc>
        <w:tc>
          <w:tcPr>
            <w:tcW w:w="1185" w:type="dxa"/>
            <w:vAlign w:val="center"/>
          </w:tcPr>
          <w:p>
            <w:pPr>
              <w:wordWrap w:val="0"/>
              <w:spacing w:line="360" w:lineRule="exact"/>
              <w:jc w:val="center"/>
              <w:rPr>
                <w:rFonts w:hint="eastAsia" w:ascii="宋体" w:hAnsi="宋体" w:cs="宋体"/>
                <w:sz w:val="22"/>
                <w:szCs w:val="22"/>
              </w:rPr>
            </w:pPr>
            <w:r>
              <w:rPr>
                <w:rFonts w:hint="eastAsia" w:ascii="宋体" w:hAnsi="宋体" w:cs="宋体"/>
                <w:sz w:val="22"/>
                <w:szCs w:val="22"/>
              </w:rPr>
              <w:t>专家打分</w:t>
            </w:r>
          </w:p>
        </w:tc>
        <w:tc>
          <w:tcPr>
            <w:tcW w:w="4806" w:type="dxa"/>
            <w:vAlign w:val="center"/>
          </w:tcPr>
          <w:p>
            <w:pPr>
              <w:adjustRightInd w:val="0"/>
              <w:snapToGrid w:val="0"/>
              <w:jc w:val="left"/>
              <w:rPr>
                <w:rFonts w:hint="eastAsia" w:ascii="宋体" w:hAnsi="宋体" w:eastAsia="宋体" w:cs="宋体"/>
                <w:b/>
                <w:bCs/>
                <w:szCs w:val="21"/>
                <w:lang w:eastAsia="zh-CN"/>
              </w:rPr>
            </w:pPr>
            <w:r>
              <w:rPr>
                <w:rFonts w:hint="eastAsia" w:ascii="宋体" w:hAnsi="宋体" w:cs="宋体"/>
                <w:b/>
                <w:bCs/>
                <w:szCs w:val="21"/>
                <w:lang w:eastAsia="zh-CN"/>
              </w:rPr>
              <w:t>一、评审</w:t>
            </w:r>
            <w:r>
              <w:rPr>
                <w:rFonts w:hint="eastAsia" w:ascii="宋体" w:hAnsi="宋体" w:cs="宋体"/>
                <w:b/>
                <w:bCs/>
                <w:szCs w:val="21"/>
              </w:rPr>
              <w:t>内容</w:t>
            </w:r>
            <w:r>
              <w:rPr>
                <w:rFonts w:hint="eastAsia" w:ascii="宋体" w:hAnsi="宋体" w:cs="宋体"/>
                <w:b/>
                <w:bCs/>
                <w:szCs w:val="21"/>
                <w:lang w:eastAsia="zh-CN"/>
              </w:rPr>
              <w:t>：</w:t>
            </w:r>
          </w:p>
          <w:p>
            <w:pPr>
              <w:spacing w:before="182" w:line="240" w:lineRule="auto"/>
              <w:ind w:left="0" w:firstLine="0" w:firstLineChars="0"/>
              <w:jc w:val="both"/>
              <w:rPr>
                <w:rFonts w:hint="eastAsia" w:eastAsia="宋体"/>
                <w:lang w:eastAsia="zh-CN"/>
              </w:rPr>
            </w:pPr>
            <w:r>
              <w:rPr>
                <w:rFonts w:hint="eastAsia"/>
                <w:spacing w:val="0"/>
              </w:rPr>
              <w:t>投标人具备履行</w:t>
            </w:r>
            <w:r>
              <w:rPr>
                <w:rFonts w:hint="eastAsia"/>
                <w:spacing w:val="0"/>
                <w:lang w:val="en-US" w:eastAsia="zh-CN"/>
              </w:rPr>
              <w:t>水量平衡测试工作</w:t>
            </w:r>
            <w:r>
              <w:rPr>
                <w:rFonts w:hint="eastAsia"/>
                <w:spacing w:val="0"/>
              </w:rPr>
              <w:t>所必须的检验、测试等专业技术能力、具备相关领域认证资质或实验室认可资质。提供中国合格评定国家认可委员会实验室认可证书（CNAS），</w:t>
            </w:r>
            <w:r>
              <w:rPr>
                <w:rFonts w:ascii="宋体" w:hAnsi="宋体" w:eastAsia="宋体" w:cs="宋体"/>
                <w:sz w:val="24"/>
                <w:szCs w:val="24"/>
              </w:rPr>
              <w:t>提供得满分，不提供不得分</w:t>
            </w:r>
            <w:r>
              <w:rPr>
                <w:rFonts w:hint="eastAsia"/>
                <w:spacing w:val="0"/>
                <w:lang w:eastAsia="zh-CN"/>
              </w:rPr>
              <w:t>。</w:t>
            </w:r>
          </w:p>
          <w:p>
            <w:pPr>
              <w:adjustRightInd w:val="0"/>
              <w:snapToGrid w:val="0"/>
              <w:jc w:val="left"/>
              <w:rPr>
                <w:rFonts w:hint="eastAsia" w:ascii="宋体" w:hAnsi="宋体" w:cs="宋体"/>
                <w:b/>
                <w:bCs/>
                <w:szCs w:val="21"/>
              </w:rPr>
            </w:pPr>
            <w:r>
              <w:rPr>
                <w:rFonts w:hint="eastAsia" w:ascii="宋体" w:hAnsi="宋体" w:cs="宋体"/>
                <w:b/>
                <w:bCs/>
                <w:szCs w:val="21"/>
                <w:lang w:eastAsia="zh-CN"/>
              </w:rPr>
              <w:t>二、评审标准：</w:t>
            </w:r>
          </w:p>
          <w:p>
            <w:pPr>
              <w:rPr>
                <w:rFonts w:hint="eastAsia"/>
              </w:rPr>
            </w:pPr>
            <w:r>
              <w:rPr>
                <w:rFonts w:hint="eastAsia"/>
              </w:rPr>
              <w:t>1.</w:t>
            </w:r>
            <w:r>
              <w:rPr>
                <w:spacing w:val="-2"/>
              </w:rPr>
              <w:t>提供中国合格评定国家认可委员会实验室认</w:t>
            </w:r>
            <w:r>
              <w:rPr>
                <w:spacing w:val="-1"/>
              </w:rPr>
              <w:t>可证书（CNAS）或资质认定计量认证证书（CMA）作</w:t>
            </w:r>
            <w:r>
              <w:rPr>
                <w:spacing w:val="-6"/>
              </w:rPr>
              <w:t>为得分依据</w:t>
            </w:r>
            <w:r>
              <w:rPr>
                <w:rFonts w:hint="eastAsia"/>
              </w:rPr>
              <w:t>。</w:t>
            </w:r>
          </w:p>
          <w:p>
            <w:pPr>
              <w:rPr>
                <w:rFonts w:hint="eastAsia"/>
              </w:rPr>
            </w:pPr>
            <w:r>
              <w:rPr>
                <w:spacing w:val="-6"/>
              </w:rPr>
              <w:t>2.以上资料均要求提供复印件加盖投标人公章，原件备查。评分中出现无证明资料或专家无法凭所提供资</w:t>
            </w:r>
            <w:r>
              <w:rPr>
                <w:spacing w:val="-1"/>
              </w:rPr>
              <w:t>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473" w:type="dxa"/>
            <w:vAlign w:val="center"/>
          </w:tcPr>
          <w:p>
            <w:pPr>
              <w:spacing w:line="360" w:lineRule="exact"/>
              <w:jc w:val="center"/>
              <w:rPr>
                <w:rFonts w:hint="eastAsia" w:ascii="宋体" w:hAnsi="宋体" w:cs="宋体"/>
                <w:sz w:val="22"/>
                <w:szCs w:val="22"/>
              </w:rPr>
            </w:pPr>
            <w:r>
              <w:rPr>
                <w:rFonts w:hint="eastAsia" w:ascii="宋体" w:hAnsi="宋体" w:cs="宋体"/>
                <w:sz w:val="22"/>
                <w:szCs w:val="22"/>
              </w:rPr>
              <w:t>5</w:t>
            </w:r>
          </w:p>
        </w:tc>
        <w:tc>
          <w:tcPr>
            <w:tcW w:w="1270" w:type="dxa"/>
            <w:vAlign w:val="center"/>
          </w:tcPr>
          <w:p>
            <w:pPr>
              <w:wordWrap w:val="0"/>
              <w:spacing w:line="360" w:lineRule="exact"/>
              <w:jc w:val="center"/>
              <w:rPr>
                <w:rFonts w:hint="eastAsia" w:ascii="宋体" w:hAnsi="宋体" w:cs="宋体"/>
                <w:sz w:val="22"/>
                <w:szCs w:val="22"/>
              </w:rPr>
            </w:pPr>
            <w:r>
              <w:rPr>
                <w:rFonts w:hint="eastAsia" w:ascii="宋体" w:hAnsi="宋体" w:cs="宋体"/>
                <w:sz w:val="22"/>
                <w:szCs w:val="22"/>
              </w:rPr>
              <w:t>诚信</w:t>
            </w:r>
          </w:p>
        </w:tc>
        <w:tc>
          <w:tcPr>
            <w:tcW w:w="933" w:type="dxa"/>
            <w:vAlign w:val="center"/>
          </w:tcPr>
          <w:p>
            <w:pPr>
              <w:wordWrap w:val="0"/>
              <w:spacing w:line="360" w:lineRule="exact"/>
              <w:jc w:val="center"/>
              <w:rPr>
                <w:rFonts w:hint="eastAsia" w:ascii="宋体" w:hAnsi="宋体" w:cs="宋体"/>
                <w:sz w:val="22"/>
                <w:szCs w:val="22"/>
              </w:rPr>
            </w:pPr>
            <w:r>
              <w:rPr>
                <w:rFonts w:hint="eastAsia" w:ascii="宋体" w:hAnsi="宋体" w:cs="宋体"/>
                <w:sz w:val="22"/>
                <w:szCs w:val="22"/>
              </w:rPr>
              <w:t>5</w:t>
            </w:r>
          </w:p>
        </w:tc>
        <w:tc>
          <w:tcPr>
            <w:tcW w:w="1185" w:type="dxa"/>
            <w:vAlign w:val="center"/>
          </w:tcPr>
          <w:p>
            <w:pPr>
              <w:wordWrap w:val="0"/>
              <w:spacing w:line="360" w:lineRule="exact"/>
              <w:jc w:val="center"/>
              <w:rPr>
                <w:rFonts w:hint="eastAsia" w:ascii="宋体" w:hAnsi="宋体" w:cs="宋体"/>
                <w:sz w:val="22"/>
                <w:szCs w:val="22"/>
              </w:rPr>
            </w:pPr>
            <w:r>
              <w:rPr>
                <w:rFonts w:hint="eastAsia" w:ascii="宋体" w:hAnsi="宋体" w:cs="宋体"/>
                <w:sz w:val="22"/>
                <w:szCs w:val="22"/>
              </w:rPr>
              <w:t>专家打分</w:t>
            </w:r>
          </w:p>
        </w:tc>
        <w:tc>
          <w:tcPr>
            <w:tcW w:w="4806" w:type="dxa"/>
            <w:vAlign w:val="center"/>
          </w:tcPr>
          <w:p>
            <w:pPr>
              <w:adjustRightInd w:val="0"/>
              <w:snapToGrid w:val="0"/>
              <w:jc w:val="left"/>
              <w:rPr>
                <w:rFonts w:hint="eastAsia" w:ascii="宋体" w:hAnsi="宋体" w:eastAsia="宋体" w:cs="宋体"/>
                <w:b/>
                <w:bCs/>
                <w:szCs w:val="21"/>
                <w:lang w:eastAsia="zh-CN"/>
              </w:rPr>
            </w:pPr>
            <w:r>
              <w:rPr>
                <w:rFonts w:hint="eastAsia" w:ascii="宋体" w:hAnsi="宋体" w:cs="宋体"/>
                <w:b/>
                <w:bCs/>
                <w:szCs w:val="21"/>
                <w:lang w:eastAsia="zh-CN"/>
              </w:rPr>
              <w:t>一、</w:t>
            </w:r>
            <w:r>
              <w:rPr>
                <w:rFonts w:hint="eastAsia" w:ascii="宋体" w:hAnsi="宋体" w:cs="宋体"/>
                <w:b/>
                <w:bCs/>
                <w:szCs w:val="21"/>
              </w:rPr>
              <w:t>评</w:t>
            </w:r>
            <w:r>
              <w:rPr>
                <w:rFonts w:hint="eastAsia" w:ascii="宋体" w:hAnsi="宋体" w:cs="宋体"/>
                <w:b/>
                <w:bCs/>
                <w:szCs w:val="21"/>
                <w:lang w:eastAsia="zh-CN"/>
              </w:rPr>
              <w:t>审</w:t>
            </w:r>
            <w:r>
              <w:rPr>
                <w:rFonts w:hint="eastAsia" w:ascii="宋体" w:hAnsi="宋体" w:cs="宋体"/>
                <w:b/>
                <w:bCs/>
                <w:szCs w:val="21"/>
              </w:rPr>
              <w:t>内容</w:t>
            </w:r>
            <w:r>
              <w:rPr>
                <w:rFonts w:hint="eastAsia" w:ascii="宋体" w:hAnsi="宋体" w:cs="宋体"/>
                <w:b/>
                <w:bCs/>
                <w:szCs w:val="21"/>
                <w:lang w:eastAsia="zh-CN"/>
              </w:rPr>
              <w:t>：</w:t>
            </w:r>
          </w:p>
          <w:p>
            <w:pPr>
              <w:adjustRightInd/>
              <w:snapToGrid/>
              <w:jc w:val="left"/>
              <w:rPr>
                <w:rFonts w:hint="eastAsia"/>
              </w:rPr>
            </w:pPr>
            <w:r>
              <w:rPr>
                <w:rFonts w:hint="eastAsia"/>
              </w:rPr>
              <w:t>投标供应商存在《深圳市财政局政府采购供应商信用信息管理办法》（深财规〔2023〕3号）列明的一般行政处罚信息、一般违法失信记录信息的，本项不得分，不存在上述情形的本项得5分。投标供应商无需提供任何证明材料，评标过程中由工作人员向评审委员会提供供应商诚信查询结果。</w:t>
            </w:r>
          </w:p>
          <w:p>
            <w:pPr>
              <w:adjustRightInd w:val="0"/>
              <w:snapToGrid w:val="0"/>
              <w:jc w:val="left"/>
              <w:rPr>
                <w:rFonts w:hint="eastAsia" w:ascii="宋体" w:hAnsi="宋体" w:cs="宋体"/>
                <w:b/>
                <w:bCs/>
                <w:szCs w:val="21"/>
              </w:rPr>
            </w:pPr>
            <w:r>
              <w:rPr>
                <w:rFonts w:hint="eastAsia" w:ascii="宋体" w:hAnsi="宋体" w:cs="宋体"/>
                <w:b/>
                <w:bCs/>
                <w:szCs w:val="21"/>
                <w:lang w:eastAsia="zh-CN"/>
              </w:rPr>
              <w:t>二、评审标准：</w:t>
            </w:r>
          </w:p>
          <w:p>
            <w:pPr>
              <w:widowControl/>
              <w:adjustRightInd/>
              <w:snapToGrid/>
              <w:spacing w:line="240" w:lineRule="auto"/>
              <w:jc w:val="left"/>
              <w:rPr>
                <w:rFonts w:hint="eastAsia" w:ascii="宋体" w:hAnsi="宋体" w:cs="宋体"/>
                <w:b/>
                <w:bCs/>
                <w:kern w:val="0"/>
                <w:szCs w:val="22"/>
                <w:lang w:bidi="en-US"/>
              </w:rPr>
            </w:pPr>
            <w:r>
              <w:rPr>
                <w:rFonts w:hint="eastAsia"/>
              </w:rPr>
              <w:t>查询渠道：通过“信用中国”（www.creditchina.gov.cn）、“中国政府采购网”（www.ccgp.gov.cn）、“深圳市政府采购监管网”（http://zfcg.sz.gov.cn）以及财政主管部门认定的其他渠道查询供应商信用信息，信用信息以开标当日的查询结果为准。</w:t>
            </w:r>
          </w:p>
        </w:tc>
      </w:tr>
    </w:tbl>
    <w:p>
      <w:pPr>
        <w:rPr>
          <w:rFonts w:hint="eastAsia" w:ascii="宋体" w:hAnsi="宋体" w:cs="宋体"/>
          <w:sz w:val="22"/>
          <w:szCs w:val="28"/>
        </w:rPr>
      </w:pPr>
      <w:r>
        <w:rPr>
          <w:rFonts w:hint="eastAsia" w:ascii="宋体" w:hAnsi="宋体" w:cs="宋体"/>
          <w:sz w:val="22"/>
          <w:szCs w:val="28"/>
        </w:rPr>
        <w:t>备注：</w:t>
      </w:r>
    </w:p>
    <w:p>
      <w:pPr>
        <w:rPr>
          <w:rFonts w:hint="eastAsia" w:ascii="宋体" w:hAnsi="宋体" w:cs="宋体"/>
          <w:sz w:val="22"/>
          <w:szCs w:val="28"/>
        </w:rPr>
      </w:pPr>
      <w:r>
        <w:rPr>
          <w:rFonts w:hint="eastAsia" w:ascii="宋体" w:hAnsi="宋体" w:cs="宋体"/>
          <w:sz w:val="22"/>
          <w:szCs w:val="28"/>
        </w:rPr>
        <w:t>1.价格、技术、商务部分累加分为100分。</w:t>
      </w:r>
    </w:p>
    <w:p>
      <w:pPr>
        <w:jc w:val="left"/>
        <w:rPr>
          <w:rFonts w:hint="eastAsia" w:ascii="宋体" w:hAnsi="宋体" w:cs="宋体"/>
          <w:sz w:val="22"/>
          <w:szCs w:val="28"/>
        </w:rPr>
      </w:pPr>
      <w:r>
        <w:rPr>
          <w:rFonts w:hint="eastAsia" w:ascii="宋体" w:hAnsi="宋体" w:cs="宋体"/>
          <w:sz w:val="22"/>
          <w:szCs w:val="28"/>
        </w:rPr>
        <w:t>2.各投标人得分精确到小数点后两位。</w:t>
      </w:r>
    </w:p>
    <w:p/>
    <w:sectPr>
      <w:footerReference r:id="rId3" w:type="default"/>
      <w:pgSz w:w="11906" w:h="16838"/>
      <w:pgMar w:top="2098" w:right="1587" w:bottom="153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H Yb 2gj">
    <w:altName w:val="华文仿宋"/>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C59"/>
    <w:rsid w:val="00292C59"/>
    <w:rsid w:val="002B4528"/>
    <w:rsid w:val="00926E50"/>
    <w:rsid w:val="009C266E"/>
    <w:rsid w:val="00DD617C"/>
    <w:rsid w:val="00EC3FF2"/>
    <w:rsid w:val="0204531E"/>
    <w:rsid w:val="023F7394"/>
    <w:rsid w:val="02C005DC"/>
    <w:rsid w:val="04CD03DC"/>
    <w:rsid w:val="04F04570"/>
    <w:rsid w:val="0A961A06"/>
    <w:rsid w:val="0E894497"/>
    <w:rsid w:val="0F405012"/>
    <w:rsid w:val="17CC40F0"/>
    <w:rsid w:val="1DC6338F"/>
    <w:rsid w:val="23D932D6"/>
    <w:rsid w:val="24596424"/>
    <w:rsid w:val="2B2665B9"/>
    <w:rsid w:val="32A9735D"/>
    <w:rsid w:val="3474778A"/>
    <w:rsid w:val="3D681BE7"/>
    <w:rsid w:val="3FBD06B3"/>
    <w:rsid w:val="403F6A61"/>
    <w:rsid w:val="4355386B"/>
    <w:rsid w:val="556A6FB7"/>
    <w:rsid w:val="5691043E"/>
    <w:rsid w:val="57884165"/>
    <w:rsid w:val="582C5C25"/>
    <w:rsid w:val="5A1D59A2"/>
    <w:rsid w:val="5AB31B1F"/>
    <w:rsid w:val="5C332EF2"/>
    <w:rsid w:val="5D0C6B79"/>
    <w:rsid w:val="5F461A37"/>
    <w:rsid w:val="5FF59548"/>
    <w:rsid w:val="632F6585"/>
    <w:rsid w:val="65D05766"/>
    <w:rsid w:val="73143B43"/>
    <w:rsid w:val="747E1334"/>
    <w:rsid w:val="77D728DF"/>
    <w:rsid w:val="787F0A48"/>
    <w:rsid w:val="789E1EDE"/>
    <w:rsid w:val="79110AD8"/>
    <w:rsid w:val="799E680F"/>
    <w:rsid w:val="79AE925B"/>
    <w:rsid w:val="7CD64493"/>
    <w:rsid w:val="9EDFE919"/>
    <w:rsid w:val="9F3F9066"/>
    <w:rsid w:val="AFB541BD"/>
    <w:rsid w:val="D2FD621C"/>
    <w:rsid w:val="DFB48CD5"/>
    <w:rsid w:val="E7EF2E79"/>
    <w:rsid w:val="FA7FE0AC"/>
    <w:rsid w:val="FFBFE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link w:val="17"/>
    <w:unhideWhenUsed/>
    <w:qFormat/>
    <w:uiPriority w:val="99"/>
    <w:pPr>
      <w:spacing w:after="120"/>
    </w:pPr>
  </w:style>
  <w:style w:type="paragraph" w:styleId="4">
    <w:name w:val="Body Text Indent"/>
    <w:basedOn w:val="1"/>
    <w:qFormat/>
    <w:uiPriority w:val="0"/>
    <w:pPr>
      <w:spacing w:line="360" w:lineRule="auto"/>
      <w:ind w:firstLine="420" w:firstLineChars="200"/>
    </w:p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tabs>
        <w:tab w:val="center" w:pos="4153"/>
        <w:tab w:val="right" w:pos="8306"/>
      </w:tabs>
      <w:snapToGrid w:val="0"/>
      <w:jc w:val="center"/>
    </w:pPr>
    <w:rPr>
      <w:sz w:val="18"/>
      <w:szCs w:val="18"/>
    </w:rPr>
  </w:style>
  <w:style w:type="paragraph" w:styleId="7">
    <w:name w:val="toc 2"/>
    <w:basedOn w:val="1"/>
    <w:next w:val="1"/>
    <w:qFormat/>
    <w:uiPriority w:val="39"/>
    <w:pPr>
      <w:ind w:left="210"/>
      <w:jc w:val="left"/>
    </w:pPr>
    <w:rPr>
      <w:rFonts w:ascii="Calibri" w:hAnsi="Calibri" w:cs="Calibri"/>
      <w:smallCaps/>
      <w:szCs w:val="20"/>
    </w:rPr>
  </w:style>
  <w:style w:type="paragraph" w:styleId="8">
    <w:name w:val="Body Text First Indent 2"/>
    <w:basedOn w:val="4"/>
    <w:qFormat/>
    <w:uiPriority w:val="0"/>
    <w:pPr>
      <w:spacing w:after="120" w:line="240" w:lineRule="auto"/>
      <w:ind w:left="420" w:leftChars="200"/>
    </w:pPr>
  </w:style>
  <w:style w:type="character" w:styleId="11">
    <w:name w:val="Strong"/>
    <w:qFormat/>
    <w:uiPriority w:val="22"/>
    <w:rPr>
      <w:b/>
      <w:bCs/>
    </w:rPr>
  </w:style>
  <w:style w:type="paragraph" w:customStyle="1" w:styleId="1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3">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14">
    <w:name w:val="页眉 字符"/>
    <w:basedOn w:val="10"/>
    <w:link w:val="6"/>
    <w:qFormat/>
    <w:uiPriority w:val="0"/>
    <w:rPr>
      <w:rFonts w:ascii="Times New Roman" w:hAnsi="Times New Roman" w:eastAsia="宋体" w:cs="Times New Roman"/>
      <w:kern w:val="2"/>
      <w:sz w:val="18"/>
      <w:szCs w:val="18"/>
    </w:rPr>
  </w:style>
  <w:style w:type="character" w:customStyle="1" w:styleId="15">
    <w:name w:val="页脚 字符"/>
    <w:basedOn w:val="10"/>
    <w:link w:val="5"/>
    <w:qFormat/>
    <w:uiPriority w:val="0"/>
    <w:rPr>
      <w:rFonts w:ascii="Times New Roman" w:hAnsi="Times New Roman" w:eastAsia="宋体" w:cs="Times New Roman"/>
      <w:kern w:val="2"/>
      <w:sz w:val="18"/>
      <w:szCs w:val="18"/>
    </w:rPr>
  </w:style>
  <w:style w:type="paragraph" w:customStyle="1" w:styleId="16">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7">
    <w:name w:val="正文文本 字符"/>
    <w:basedOn w:val="10"/>
    <w:link w:val="3"/>
    <w:qFormat/>
    <w:uiPriority w:val="99"/>
    <w:rPr>
      <w:rFonts w:ascii="Times New Roman" w:hAnsi="Times New Roman" w:eastAsia="宋体" w:cs="Times New Roman"/>
      <w:kern w:val="2"/>
      <w:sz w:val="21"/>
      <w:szCs w:val="24"/>
    </w:rPr>
  </w:style>
  <w:style w:type="paragraph" w:customStyle="1" w:styleId="18">
    <w:name w:val="Table Text"/>
    <w:basedOn w:val="1"/>
    <w:semiHidden/>
    <w:qFormat/>
    <w:uiPriority w:val="0"/>
    <w:rPr>
      <w:rFonts w:ascii="宋体" w:hAnsi="宋体" w:eastAsia="宋体" w:cs="宋体"/>
      <w:sz w:val="24"/>
      <w:szCs w:val="24"/>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2794</Words>
  <Characters>2919</Characters>
  <Lines>105</Lines>
  <Paragraphs>84</Paragraphs>
  <TotalTime>81</TotalTime>
  <ScaleCrop>false</ScaleCrop>
  <LinksUpToDate>false</LinksUpToDate>
  <CharactersWithSpaces>2970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2025-07-09T22:56:00Z</dcterms:created>
  <dc:creator>Administrator</dc:creator>
  <cp:lastModifiedBy>郑锦婷</cp:lastModifiedBy>
  <dcterms:modified xsi:type="dcterms:W3CDTF">2025-12-10T16:15:22Z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02760C86BF4ACDF41A2C3969CDAABA6F</vt:lpwstr>
  </property>
  <property fmtid="{D5CDD505-2E9C-101B-9397-08002B2CF9AE}" pid="4" name="KSOTemplateDocerSaveRecord">
    <vt:lpwstr>eyJoZGlkIjoiNzI1MzljODBiNDliMzEyMzFlZWNlN2EzYjU0N2YzMWEiLCJ1c2VySWQiOiI0MTEwNDM5ODYifQ==</vt:lpwstr>
  </property>
</Properties>
</file>