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w:t>
      </w:r>
    </w:p>
    <w:p>
      <w:pPr>
        <w:adjustRightInd w:val="0"/>
        <w:snapToGrid w:val="0"/>
        <w:spacing w:line="336" w:lineRule="auto"/>
        <w:jc w:val="center"/>
        <w:rPr>
          <w:rFonts w:hint="eastAsia" w:ascii="方正小标宋_GBK" w:hAnsi="方正小标宋_GBK" w:eastAsia="方正小标宋_GBK"/>
          <w:b/>
          <w:spacing w:val="-3"/>
          <w:sz w:val="36"/>
          <w:szCs w:val="36"/>
        </w:rPr>
      </w:pPr>
      <w:r>
        <w:rPr>
          <w:rFonts w:hint="eastAsia" w:ascii="方正小标宋_GBK" w:hAnsi="方正小标宋_GBK" w:eastAsia="方正小标宋_GBK"/>
          <w:bCs/>
          <w:spacing w:val="-3"/>
          <w:sz w:val="44"/>
          <w:szCs w:val="44"/>
        </w:rPr>
        <w:t>2025年民政部标准制定计划</w:t>
      </w:r>
    </w:p>
    <w:p>
      <w:pPr>
        <w:numPr>
          <w:ilvl w:val="0"/>
          <w:numId w:val="1"/>
        </w:numPr>
        <w:adjustRightInd w:val="0"/>
        <w:snapToGrid w:val="0"/>
        <w:spacing w:line="336" w:lineRule="auto"/>
        <w:jc w:val="center"/>
        <w:rPr>
          <w:rFonts w:hint="eastAsia" w:ascii="方正楷体_GBK" w:hAnsi="方正楷体_GBK" w:eastAsia="方正楷体_GBK" w:cs="方正楷体_GBK"/>
          <w:bCs/>
          <w:spacing w:val="-3"/>
          <w:sz w:val="32"/>
          <w:szCs w:val="36"/>
        </w:rPr>
      </w:pPr>
      <w:r>
        <w:rPr>
          <w:rFonts w:hint="eastAsia" w:ascii="方正楷体_GBK" w:hAnsi="方正楷体_GBK" w:eastAsia="方正楷体_GBK" w:cs="方正楷体_GBK"/>
          <w:bCs/>
          <w:spacing w:val="-3"/>
          <w:sz w:val="32"/>
          <w:szCs w:val="36"/>
        </w:rPr>
        <w:t>拟申报国家标准的项目</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5546"/>
        <w:gridCol w:w="1112"/>
        <w:gridCol w:w="217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383"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序号</w:t>
            </w:r>
          </w:p>
        </w:tc>
        <w:tc>
          <w:tcPr>
            <w:tcW w:w="1955"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名称</w:t>
            </w:r>
          </w:p>
        </w:tc>
        <w:tc>
          <w:tcPr>
            <w:tcW w:w="392"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标准性质</w:t>
            </w:r>
          </w:p>
        </w:tc>
        <w:tc>
          <w:tcPr>
            <w:tcW w:w="768"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业务/技术归口单位</w:t>
            </w:r>
          </w:p>
        </w:tc>
        <w:tc>
          <w:tcPr>
            <w:tcW w:w="1499"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主要承担单位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83" w:type="pct"/>
            <w:noWrap w:val="0"/>
            <w:vAlign w:val="center"/>
          </w:tcPr>
          <w:p>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殡仪场所致病菌安全限值（外文版）</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w:t>
            </w:r>
          </w:p>
        </w:tc>
        <w:tc>
          <w:tcPr>
            <w:tcW w:w="768" w:type="pct"/>
            <w:vMerge w:val="restar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社会事务司、殡葬标委会</w:t>
            </w: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民政部一零一研究所等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83" w:type="pct"/>
            <w:noWrap w:val="0"/>
            <w:vAlign w:val="center"/>
          </w:tcPr>
          <w:p>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方正仿宋_GBK" w:hAnsi="方正仿宋_GBK" w:eastAsia="方正仿宋_GBK" w:cs="方正仿宋_GBK"/>
                <w:color w:val="000000"/>
                <w:kern w:val="0"/>
                <w:sz w:val="32"/>
                <w:szCs w:val="32"/>
                <w:lang w:bidi="ar"/>
              </w:rPr>
              <w:t>遗体接运服务</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民政部一零一研究所等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83" w:type="pct"/>
            <w:noWrap w:val="0"/>
            <w:vAlign w:val="center"/>
          </w:tcPr>
          <w:p>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火化棺</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厦门智立工贸有限公司等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83" w:type="pct"/>
            <w:noWrap w:val="0"/>
            <w:vAlign w:val="center"/>
          </w:tcPr>
          <w:p>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骨灰存放架通用技术要求</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樟树市人文殡葬行业协会等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轮椅车第19部分：可作机动车座位的轮椅车</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restar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社会事务司、残康标委会</w:t>
            </w: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福建省康复辅具技术服务中心等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pStyle w:val="6"/>
              <w:widowControl/>
              <w:numPr>
                <w:ilvl w:val="0"/>
                <w:numId w:val="2"/>
              </w:numPr>
              <w:tabs>
                <w:tab w:val="left" w:pos="420"/>
                <w:tab w:val="clear" w:pos="0"/>
              </w:tabs>
              <w:ind w:firstLineChars="0"/>
              <w:jc w:val="center"/>
              <w:rPr>
                <w:rFonts w:hint="eastAsia" w:ascii="仿宋_GB2312" w:hAnsi="宋体" w:eastAsia="仿宋_GB2312" w:cs="宋体"/>
                <w:color w:val="000000"/>
                <w:kern w:val="0"/>
                <w:sz w:val="24"/>
                <w:szCs w:val="24"/>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轮椅车第25部分：电动轮椅车的铅酸电池和充电器 要求和测试方法</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上海互邦医疗器械有限公司等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轮椅车第2部分：维持组织完整性的座垫的物理和机械特性测定</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轮椅车第15部分：座椅中柔性体位支撑装置的选择、放置和固定</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矫形器 踝足矫形器的微处理器控制踝力矩组件的可靠性测试方法</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假肢 踝足装置和足部组件检测 要求和试验方法</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康复辅助器具 调查感官功能障碍者对康复辅助器具产品和服务需求的无障碍指南与要求</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国家康复辅具研究中心等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单臂操作助行器具 要求和试验方法 第4部分：三脚或多脚手杖</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vMerge w:val="continue"/>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中国残疾人辅助器具中心等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应急慈善捐赠指南</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慈善事业促进司、慈善社工标委会</w:t>
            </w: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湖北省民政厅等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3" w:type="pct"/>
            <w:noWrap w:val="0"/>
            <w:vAlign w:val="center"/>
          </w:tcPr>
          <w:p>
            <w:pPr>
              <w:widowControl/>
              <w:numPr>
                <w:ilvl w:val="0"/>
                <w:numId w:val="2"/>
              </w:numPr>
              <w:tabs>
                <w:tab w:val="left" w:pos="420"/>
                <w:tab w:val="clear" w:pos="0"/>
              </w:tabs>
              <w:spacing w:line="0" w:lineRule="atLeast"/>
              <w:jc w:val="center"/>
              <w:textAlignment w:val="center"/>
              <w:rPr>
                <w:rFonts w:hint="eastAsia" w:ascii="仿宋_GB2312" w:hAnsi="仿宋_GB2312" w:eastAsia="仿宋_GB2312" w:cs="仿宋_GB2312"/>
                <w:kern w:val="0"/>
                <w:sz w:val="30"/>
                <w:szCs w:val="30"/>
              </w:rPr>
            </w:pPr>
          </w:p>
        </w:tc>
        <w:tc>
          <w:tcPr>
            <w:tcW w:w="1955"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老年助餐服务指南</w:t>
            </w:r>
          </w:p>
        </w:tc>
        <w:tc>
          <w:tcPr>
            <w:tcW w:w="392" w:type="pct"/>
            <w:noWrap w:val="0"/>
            <w:vAlign w:val="center"/>
          </w:tcPr>
          <w:p>
            <w:pPr>
              <w:widowControl/>
              <w:spacing w:line="0" w:lineRule="atLeas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GB/T</w:t>
            </w:r>
          </w:p>
        </w:tc>
        <w:tc>
          <w:tcPr>
            <w:tcW w:w="768"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养老服务司、社会福利服务标委会</w:t>
            </w:r>
          </w:p>
        </w:tc>
        <w:tc>
          <w:tcPr>
            <w:tcW w:w="1499" w:type="pct"/>
            <w:noWrap w:val="0"/>
            <w:vAlign w:val="center"/>
          </w:tcPr>
          <w:p>
            <w:pPr>
              <w:widowControl/>
              <w:spacing w:line="0" w:lineRule="atLeas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山东省标准化研究院等</w:t>
            </w:r>
          </w:p>
        </w:tc>
      </w:tr>
    </w:tbl>
    <w:p>
      <w:pPr>
        <w:adjustRightInd w:val="0"/>
        <w:snapToGrid w:val="0"/>
        <w:spacing w:line="336" w:lineRule="auto"/>
        <w:jc w:val="center"/>
        <w:rPr>
          <w:rFonts w:hint="eastAsia" w:ascii="方正小标宋_GBK" w:hAnsi="方正小标宋_GBK" w:eastAsia="方正小标宋_GBK"/>
          <w:b/>
          <w:spacing w:val="-3"/>
          <w:sz w:val="32"/>
          <w:szCs w:val="36"/>
        </w:rPr>
      </w:pPr>
      <w:r>
        <w:rPr>
          <w:rFonts w:hint="eastAsia" w:ascii="方正小标宋_GBK" w:hAnsi="方正小标宋_GBK" w:eastAsia="方正小标宋_GBK"/>
          <w:b/>
          <w:spacing w:val="-3"/>
          <w:sz w:val="32"/>
          <w:szCs w:val="36"/>
        </w:rPr>
        <w:br w:type="page"/>
      </w:r>
      <w:r>
        <w:rPr>
          <w:rFonts w:hint="eastAsia" w:ascii="方正楷体_GBK" w:hAnsi="方正楷体_GBK" w:eastAsia="方正楷体_GBK" w:cs="方正楷体_GBK"/>
          <w:bCs/>
          <w:spacing w:val="-3"/>
          <w:sz w:val="32"/>
          <w:szCs w:val="36"/>
        </w:rPr>
        <w:t>（二）民政行业标准制定项目</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326"/>
        <w:gridCol w:w="4425"/>
        <w:gridCol w:w="1109"/>
        <w:gridCol w:w="2176"/>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309"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序号</w:t>
            </w:r>
          </w:p>
        </w:tc>
        <w:tc>
          <w:tcPr>
            <w:tcW w:w="820"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计划编号</w:t>
            </w:r>
          </w:p>
        </w:tc>
        <w:tc>
          <w:tcPr>
            <w:tcW w:w="1560"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名称</w:t>
            </w:r>
          </w:p>
        </w:tc>
        <w:tc>
          <w:tcPr>
            <w:tcW w:w="391"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标准性质</w:t>
            </w:r>
          </w:p>
        </w:tc>
        <w:tc>
          <w:tcPr>
            <w:tcW w:w="767"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业务/技术归口单位</w:t>
            </w:r>
          </w:p>
        </w:tc>
        <w:tc>
          <w:tcPr>
            <w:tcW w:w="1150" w:type="pct"/>
            <w:noWrap w:val="0"/>
            <w:vAlign w:val="center"/>
          </w:tcPr>
          <w:p>
            <w:pPr>
              <w:widowControl/>
              <w:adjustRightInd w:val="0"/>
              <w:snapToGrid w:val="0"/>
              <w:jc w:val="center"/>
              <w:rPr>
                <w:rFonts w:hint="eastAsia" w:ascii="方正黑体_GBK" w:hAnsi="方正黑体_GBK" w:eastAsia="方正黑体_GBK" w:cs="方正黑体_GBK"/>
                <w:bCs/>
                <w:snapToGrid w:val="0"/>
                <w:color w:val="000000"/>
                <w:spacing w:val="-9"/>
                <w:kern w:val="0"/>
                <w:sz w:val="24"/>
              </w:rPr>
            </w:pPr>
            <w:r>
              <w:rPr>
                <w:rFonts w:hint="eastAsia" w:ascii="方正黑体_GBK" w:hAnsi="方正黑体_GBK" w:eastAsia="方正黑体_GBK" w:cs="方正黑体_GBK"/>
                <w:bCs/>
                <w:snapToGrid w:val="0"/>
                <w:color w:val="000000"/>
                <w:spacing w:val="-9"/>
                <w:kern w:val="0"/>
                <w:sz w:val="24"/>
              </w:rPr>
              <w:t>主要承担单位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Z2025-T-001</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轴向减压支条式膝矫形器</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restart"/>
            <w:noWrap w:val="0"/>
            <w:vAlign w:val="center"/>
          </w:tcPr>
          <w:p>
            <w:pPr>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社会事务司、残康标委会</w:t>
            </w: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嘉兴高博医疗器械有限公司等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Z2025-T-002</w:t>
            </w:r>
          </w:p>
        </w:tc>
        <w:tc>
          <w:tcPr>
            <w:tcW w:w="1560" w:type="pct"/>
            <w:noWrap w:val="0"/>
            <w:vAlign w:val="center"/>
          </w:tcPr>
          <w:p>
            <w:pPr>
              <w:widowControl/>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脊柱侧弯矫形器智能技术指南</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color w:val="000000"/>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温州医科大学附属第二医院等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Z2025-T-003</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固定式扶手和抓握杆现场测试方法</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color w:val="000000"/>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国家康复辅具研究中心康复辅具质量监督检验中心等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Z2025-T-004</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减重训练天轨移位机 通用技术要求</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color w:val="000000"/>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中国电子工程设计院股份有限公司等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Z2025-T-005</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经颅电刺激仪技术要求和试验方法</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color w:val="000000"/>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国家康复辅具研究中心等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Z2025-T-006</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气动式手功能康复评估与训练设备</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color w:val="000000"/>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国家康复辅具研究中心等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Z2025-T-007</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压感体征监测仪 通用技术要求</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color w:val="000000"/>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中国电子工程设计院股份有限公司等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Z2025-T-008</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会所模式精神障碍社区康复机构服务规范</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widowControl/>
              <w:jc w:val="center"/>
              <w:rPr>
                <w:rFonts w:hint="eastAsia" w:ascii="仿宋_GB2312" w:hAnsi="宋体" w:eastAsia="仿宋_GB2312" w:cs="宋体"/>
                <w:color w:val="000000"/>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长沙市第三社会福利院等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Z2025-T-009</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中国福利彩票系统彩票随机数检验规范</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noWrap w:val="0"/>
            <w:vAlign w:val="center"/>
          </w:tcPr>
          <w:p>
            <w:pPr>
              <w:widowControl/>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慈善事业促进司、慈善社工标委会</w:t>
            </w: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中国福利彩票发行管理中心等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Z2025-T-010</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行政区域界线 县级界桩 制作</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区划地名司、地名标委会</w:t>
            </w: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湖北省国土测绘院等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Z2025-T-011</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电子证照 收养登记证</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restart"/>
            <w:noWrap w:val="0"/>
            <w:vAlign w:val="center"/>
          </w:tcPr>
          <w:p>
            <w:pPr>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儿童福利司</w:t>
            </w: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民政部信息中心等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Z2025-T-012</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困境儿童心理健康服务规范</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江西省民政厅、黑龙江省民政厅等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Z2025-T-013</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儿童福利机构孤独症康复服务规范</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widowControl/>
              <w:jc w:val="center"/>
              <w:rPr>
                <w:rFonts w:hint="eastAsia" w:ascii="仿宋_GB2312" w:hAnsi="宋体" w:eastAsia="仿宋_GB2312" w:cs="宋体"/>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杭州市儿童福利院（杭州市未成年人救助保护中心）等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Z2025-T-014</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养老顾问服务指南</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restart"/>
            <w:noWrap w:val="0"/>
            <w:vAlign w:val="center"/>
          </w:tcPr>
          <w:p>
            <w:pPr>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养老服务司、社会福利服务标委会</w:t>
            </w: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绍兴市民政局等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Z2025-T-015</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养老机构老年人自带药品管理规范</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color w:val="000000"/>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江苏省质量和标准化研究院等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Z2025-T-016</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养老机构老年人档案管理规范</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widowControl/>
              <w:jc w:val="center"/>
              <w:rPr>
                <w:rFonts w:hint="eastAsia" w:ascii="仿宋_GB2312" w:hAnsi="宋体" w:eastAsia="仿宋_GB2312" w:cs="宋体"/>
                <w:color w:val="000000"/>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国投健康产业投资有限公司等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Z2025-T-017</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殡葬服务机构等级评定</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restart"/>
            <w:noWrap w:val="0"/>
            <w:vAlign w:val="center"/>
          </w:tcPr>
          <w:p>
            <w:pPr>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社会事务司、殡葬标委会</w:t>
            </w: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民政部一零一研究所等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Z2025-T-018</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石质骨灰容器</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民政部一零一研究所等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Z2025-T-019</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遗体冷藏棺通用技术规范</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民政部一零一研究所等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Z2025-T-020</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生态安葬纪念园基本要求</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民政部一零一研究所等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Z2025-T-021</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骨灰堂基本要求</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jc w:val="center"/>
              <w:rPr>
                <w:rFonts w:hint="eastAsia" w:ascii="仿宋_GB2312" w:hAnsi="宋体" w:eastAsia="仿宋_GB2312" w:cs="宋体"/>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樟树市人文殡葬行业协会等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Z2025-T-022</w:t>
            </w:r>
          </w:p>
        </w:tc>
        <w:tc>
          <w:tcPr>
            <w:tcW w:w="156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农村公益性墓地基本要求</w:t>
            </w:r>
          </w:p>
        </w:tc>
        <w:tc>
          <w:tcPr>
            <w:tcW w:w="391"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MZ/T</w:t>
            </w:r>
          </w:p>
        </w:tc>
        <w:tc>
          <w:tcPr>
            <w:tcW w:w="767" w:type="pct"/>
            <w:vMerge w:val="continue"/>
            <w:noWrap w:val="0"/>
            <w:vAlign w:val="center"/>
          </w:tcPr>
          <w:p>
            <w:pPr>
              <w:widowControl/>
              <w:jc w:val="center"/>
              <w:rPr>
                <w:rFonts w:hint="eastAsia" w:ascii="仿宋_GB2312" w:hAnsi="宋体" w:eastAsia="仿宋_GB2312" w:cs="宋体"/>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中国殡葬协会等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 w:type="pct"/>
            <w:noWrap w:val="0"/>
            <w:vAlign w:val="center"/>
          </w:tcPr>
          <w:p>
            <w:pPr>
              <w:pStyle w:val="6"/>
              <w:widowControl/>
              <w:numPr>
                <w:ilvl w:val="0"/>
                <w:numId w:val="3"/>
              </w:numPr>
              <w:ind w:firstLineChars="0"/>
              <w:jc w:val="center"/>
              <w:rPr>
                <w:rFonts w:hint="eastAsia" w:ascii="仿宋_GB2312" w:hAnsi="宋体" w:eastAsia="仿宋_GB2312" w:cs="宋体"/>
                <w:color w:val="000000"/>
                <w:kern w:val="0"/>
                <w:sz w:val="30"/>
                <w:szCs w:val="30"/>
              </w:rPr>
            </w:pPr>
          </w:p>
        </w:tc>
        <w:tc>
          <w:tcPr>
            <w:tcW w:w="82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M</w:t>
            </w:r>
            <w:r>
              <w:rPr>
                <w:rFonts w:ascii="仿宋_GB2312" w:hAnsi="宋体" w:eastAsia="仿宋_GB2312" w:cs="宋体"/>
                <w:kern w:val="0"/>
                <w:sz w:val="30"/>
                <w:szCs w:val="30"/>
              </w:rPr>
              <w:t>Z2025-T-02</w:t>
            </w:r>
            <w:r>
              <w:rPr>
                <w:rFonts w:hint="eastAsia" w:ascii="仿宋_GB2312" w:hAnsi="宋体" w:eastAsia="仿宋_GB2312" w:cs="宋体"/>
                <w:kern w:val="0"/>
                <w:sz w:val="30"/>
                <w:szCs w:val="30"/>
              </w:rPr>
              <w:t>3</w:t>
            </w:r>
          </w:p>
        </w:tc>
        <w:tc>
          <w:tcPr>
            <w:tcW w:w="1560" w:type="pct"/>
            <w:noWrap w:val="0"/>
            <w:vAlign w:val="center"/>
          </w:tcPr>
          <w:p>
            <w:pPr>
              <w:widowControl/>
              <w:spacing w:line="0" w:lineRule="atLeast"/>
              <w:jc w:val="center"/>
              <w:textAlignment w:val="cente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殡葬服务指南</w:t>
            </w:r>
          </w:p>
        </w:tc>
        <w:tc>
          <w:tcPr>
            <w:tcW w:w="391" w:type="pct"/>
            <w:noWrap w:val="0"/>
            <w:vAlign w:val="center"/>
          </w:tcPr>
          <w:p>
            <w:pPr>
              <w:widowControl/>
              <w:spacing w:line="0" w:lineRule="atLeast"/>
              <w:jc w:val="center"/>
              <w:textAlignment w:val="center"/>
              <w:rPr>
                <w:rFonts w:hint="eastAsia" w:ascii="仿宋_GB2312" w:hAnsi="宋体" w:eastAsia="仿宋_GB2312" w:cs="宋体"/>
                <w:kern w:val="0"/>
                <w:sz w:val="30"/>
                <w:szCs w:val="30"/>
              </w:rPr>
            </w:pPr>
            <w:r>
              <w:rPr>
                <w:rFonts w:hint="eastAsia" w:ascii="仿宋_GB2312" w:hAnsi="仿宋_GB2312" w:eastAsia="仿宋_GB2312" w:cs="仿宋_GB2312"/>
                <w:kern w:val="0"/>
                <w:sz w:val="30"/>
                <w:szCs w:val="30"/>
              </w:rPr>
              <w:t>MZ/T</w:t>
            </w:r>
          </w:p>
        </w:tc>
        <w:tc>
          <w:tcPr>
            <w:tcW w:w="767" w:type="pct"/>
            <w:vMerge w:val="continue"/>
            <w:noWrap w:val="0"/>
            <w:vAlign w:val="center"/>
          </w:tcPr>
          <w:p>
            <w:pPr>
              <w:widowControl/>
              <w:jc w:val="center"/>
              <w:rPr>
                <w:rFonts w:hint="eastAsia" w:ascii="仿宋_GB2312" w:hAnsi="宋体" w:eastAsia="仿宋_GB2312" w:cs="宋体"/>
                <w:kern w:val="0"/>
                <w:sz w:val="30"/>
                <w:szCs w:val="30"/>
              </w:rPr>
            </w:pPr>
          </w:p>
        </w:tc>
        <w:tc>
          <w:tcPr>
            <w:tcW w:w="1150" w:type="pct"/>
            <w:noWrap w:val="0"/>
            <w:vAlign w:val="center"/>
          </w:tcPr>
          <w:p>
            <w:pPr>
              <w:widowControl/>
              <w:jc w:val="center"/>
              <w:rPr>
                <w:rFonts w:hint="eastAsia" w:ascii="仿宋_GB2312" w:hAnsi="宋体" w:eastAsia="仿宋_GB2312" w:cs="宋体"/>
                <w:kern w:val="0"/>
                <w:sz w:val="30"/>
                <w:szCs w:val="30"/>
              </w:rPr>
            </w:pPr>
            <w:r>
              <w:rPr>
                <w:rFonts w:hint="eastAsia" w:ascii="仿宋_GB2312" w:hAnsi="仿宋_GB2312" w:eastAsia="仿宋_GB2312" w:cs="仿宋_GB2312"/>
                <w:kern w:val="0"/>
                <w:sz w:val="30"/>
                <w:szCs w:val="30"/>
              </w:rPr>
              <w:t>厦门开目管理咨询有限公司等</w:t>
            </w:r>
          </w:p>
        </w:tc>
      </w:tr>
    </w:tbl>
    <w:p/>
    <w:sectPr>
      <w:pgSz w:w="16838" w:h="11906" w:orient="landscape"/>
      <w:pgMar w:top="1797" w:right="1440" w:bottom="1797" w:left="1440" w:header="851" w:footer="992" w:gutter="0"/>
      <w:cols w:space="720" w:num="1"/>
      <w:docGrid w:type="linesAndChars" w:linePitch="31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70558"/>
    <w:multiLevelType w:val="singleLevel"/>
    <w:tmpl w:val="22B70558"/>
    <w:lvl w:ilvl="0" w:tentative="0">
      <w:start w:val="1"/>
      <w:numFmt w:val="decimal"/>
      <w:suff w:val="nothing"/>
      <w:lvlText w:val="%1"/>
      <w:lvlJc w:val="left"/>
      <w:pPr>
        <w:tabs>
          <w:tab w:val="left" w:pos="0"/>
        </w:tabs>
        <w:ind w:left="425" w:hanging="425"/>
      </w:pPr>
      <w:rPr>
        <w:rFonts w:hint="default"/>
      </w:rPr>
    </w:lvl>
  </w:abstractNum>
  <w:abstractNum w:abstractNumId="1">
    <w:nsid w:val="5F7BEA7E"/>
    <w:multiLevelType w:val="singleLevel"/>
    <w:tmpl w:val="5F7BEA7E"/>
    <w:lvl w:ilvl="0" w:tentative="0">
      <w:start w:val="1"/>
      <w:numFmt w:val="chineseCounting"/>
      <w:suff w:val="nothing"/>
      <w:lvlText w:val="（%1）"/>
      <w:lvlJc w:val="left"/>
      <w:rPr>
        <w:rFonts w:hint="eastAsia"/>
      </w:rPr>
    </w:lvl>
  </w:abstractNum>
  <w:abstractNum w:abstractNumId="2">
    <w:nsid w:val="75FF1024"/>
    <w:multiLevelType w:val="multilevel"/>
    <w:tmpl w:val="75FF10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7"/>
  <w:drawingGridVerticalSpacing w:val="15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EFDC4"/>
    <w:rsid w:val="005273E4"/>
    <w:rsid w:val="006C1199"/>
    <w:rsid w:val="0073759D"/>
    <w:rsid w:val="00780F87"/>
    <w:rsid w:val="00A94C31"/>
    <w:rsid w:val="3A5C6ECF"/>
    <w:rsid w:val="4BA822CB"/>
    <w:rsid w:val="532EFDC4"/>
    <w:rsid w:val="57761EFE"/>
    <w:rsid w:val="6FFF2B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qFormat/>
    <w:uiPriority w:val="34"/>
    <w:pPr>
      <w:widowControl w:val="0"/>
      <w:ind w:firstLine="420" w:firstLineChars="200"/>
      <w:jc w:val="both"/>
    </w:pPr>
    <w:rPr>
      <w:rFonts w:ascii="Times New Roman" w:hAnsi="Times New Roman" w:eastAsia="宋体" w:cs="Times New Roman"/>
      <w:kern w:val="2"/>
      <w:sz w:val="21"/>
      <w:lang w:val="en-US" w:eastAsia="zh-CN" w:bidi="ar-SA"/>
    </w:rPr>
  </w:style>
  <w:style w:type="character" w:customStyle="1" w:styleId="7">
    <w:name w:val="页眉 字符"/>
    <w:link w:val="3"/>
    <w:qFormat/>
    <w:uiPriority w:val="0"/>
    <w:rPr>
      <w:rFonts w:ascii="Times New Roman" w:hAnsi="Times New Roman"/>
      <w:kern w:val="2"/>
      <w:sz w:val="18"/>
      <w:szCs w:val="18"/>
    </w:rPr>
  </w:style>
  <w:style w:type="character" w:customStyle="1" w:styleId="8">
    <w:name w:val="页脚 字符"/>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442</Words>
  <Characters>479</Characters>
  <Lines>16</Lines>
  <Paragraphs>4</Paragraphs>
  <TotalTime>3</TotalTime>
  <ScaleCrop>false</ScaleCrop>
  <LinksUpToDate>false</LinksUpToDate>
  <CharactersWithSpaces>535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2025-07-24T16:18:00Z</dcterms:created>
  <dc:creator>user</dc:creator>
  <cp:lastModifiedBy>信息小组办文岗</cp:lastModifiedBy>
  <dcterms:modified xsi:type="dcterms:W3CDTF">2025-09-03T17:44:40Z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KSOTemplateDocerSaveRecord">
    <vt:lpwstr>eyJoZGlkIjoiNGUxNWJjYTM4M2FkYWIxMjk4YjBkY2JmNWZkNzM2NTYiLCJ1c2VySWQiOiIyMDMzMzM2OTUifQ==</vt:lpwstr>
  </property>
  <property fmtid="{D5CDD505-2E9C-101B-9397-08002B2CF9AE}" pid="4" name="ICV">
    <vt:lpwstr>D539AF6CF7A78124080EB868FC04FCBC</vt:lpwstr>
  </property>
</Properties>
</file>