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pacing w:val="10"/>
          <w:sz w:val="32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/>
          <w:spacing w:val="10"/>
          <w:sz w:val="32"/>
          <w:szCs w:val="44"/>
        </w:rPr>
        <w:t>附件</w:t>
      </w:r>
      <w:r>
        <w:rPr>
          <w:rFonts w:hint="eastAsia" w:ascii="黑体" w:hAnsi="黑体" w:eastAsia="黑体"/>
          <w:spacing w:val="10"/>
          <w:sz w:val="32"/>
          <w:szCs w:val="44"/>
          <w:lang w:val="en-US" w:eastAsia="zh-CN"/>
        </w:rPr>
        <w:t>2</w:t>
      </w:r>
    </w:p>
    <w:p>
      <w:pPr>
        <w:spacing w:line="700" w:lineRule="exact"/>
        <w:jc w:val="center"/>
        <w:rPr>
          <w:rFonts w:hint="eastAsia" w:ascii="方正小标宋简体" w:hAnsi="仿宋" w:eastAsia="方正小标宋简体" w:cs="仿宋"/>
          <w:spacing w:val="10"/>
          <w:sz w:val="44"/>
          <w:szCs w:val="44"/>
        </w:rPr>
      </w:pPr>
      <w:r>
        <w:rPr>
          <w:rFonts w:hint="eastAsia" w:ascii="方正小标宋简体" w:hAnsi="仿宋" w:eastAsia="方正小标宋简体" w:cs="仿宋"/>
          <w:spacing w:val="10"/>
          <w:sz w:val="44"/>
          <w:szCs w:val="44"/>
        </w:rPr>
        <w:t>202</w:t>
      </w:r>
      <w:r>
        <w:rPr>
          <w:rFonts w:hint="eastAsia" w:ascii="方正小标宋简体" w:hAnsi="仿宋" w:eastAsia="方正小标宋简体" w:cs="仿宋"/>
          <w:spacing w:val="10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仿宋"/>
          <w:spacing w:val="10"/>
          <w:sz w:val="44"/>
          <w:szCs w:val="44"/>
        </w:rPr>
        <w:t>年</w:t>
      </w:r>
      <w:r>
        <w:rPr>
          <w:rFonts w:hint="eastAsia" w:ascii="方正小标宋简体" w:hAnsi="仿宋" w:eastAsia="方正小标宋简体" w:cs="仿宋"/>
          <w:spacing w:val="10"/>
          <w:sz w:val="44"/>
          <w:szCs w:val="44"/>
          <w:lang w:val="en-US" w:eastAsia="zh-CN"/>
        </w:rPr>
        <w:t>深圳市</w:t>
      </w:r>
      <w:r>
        <w:rPr>
          <w:rFonts w:hint="eastAsia" w:ascii="方正小标宋简体" w:hAnsi="仿宋" w:eastAsia="方正小标宋简体" w:cs="仿宋"/>
          <w:spacing w:val="10"/>
          <w:sz w:val="44"/>
          <w:szCs w:val="44"/>
        </w:rPr>
        <w:t>社区养老服务机构</w:t>
      </w:r>
    </w:p>
    <w:p>
      <w:pPr>
        <w:spacing w:line="700" w:lineRule="exact"/>
        <w:jc w:val="center"/>
        <w:rPr>
          <w:rFonts w:hint="eastAsia" w:ascii="方正小标宋简体" w:hAnsi="仿宋" w:eastAsia="方正小标宋简体" w:cs="仿宋"/>
          <w:spacing w:val="10"/>
          <w:sz w:val="44"/>
          <w:szCs w:val="44"/>
        </w:rPr>
      </w:pPr>
      <w:r>
        <w:rPr>
          <w:rFonts w:hint="eastAsia" w:ascii="方正小标宋简体" w:hAnsi="仿宋" w:eastAsia="方正小标宋简体" w:cs="仿宋"/>
          <w:spacing w:val="10"/>
          <w:sz w:val="44"/>
          <w:szCs w:val="44"/>
          <w:lang w:val="en-US" w:eastAsia="zh-CN"/>
        </w:rPr>
        <w:t>等级</w:t>
      </w:r>
      <w:r>
        <w:rPr>
          <w:rFonts w:hint="eastAsia" w:ascii="方正小标宋简体" w:hAnsi="仿宋" w:eastAsia="方正小标宋简体" w:cs="仿宋"/>
          <w:spacing w:val="10"/>
          <w:sz w:val="44"/>
          <w:szCs w:val="44"/>
        </w:rPr>
        <w:t>评定</w:t>
      </w:r>
      <w:r>
        <w:rPr>
          <w:rFonts w:hint="eastAsia" w:ascii="方正小标宋简体" w:hAnsi="仿宋" w:eastAsia="方正小标宋简体" w:cs="仿宋"/>
          <w:spacing w:val="10"/>
          <w:sz w:val="44"/>
          <w:szCs w:val="44"/>
          <w:lang w:eastAsia="zh-CN"/>
        </w:rPr>
        <w:t>复评</w:t>
      </w:r>
      <w:r>
        <w:rPr>
          <w:rFonts w:hint="eastAsia" w:ascii="方正小标宋简体" w:hAnsi="仿宋" w:eastAsia="方正小标宋简体" w:cs="仿宋"/>
          <w:spacing w:val="10"/>
          <w:sz w:val="44"/>
          <w:szCs w:val="44"/>
        </w:rPr>
        <w:t>结果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仿宋" w:eastAsia="方正小标宋简体" w:cs="仿宋"/>
          <w:spacing w:val="10"/>
          <w:sz w:val="44"/>
          <w:szCs w:val="44"/>
        </w:rPr>
      </w:pPr>
    </w:p>
    <w:tbl>
      <w:tblPr>
        <w:tblStyle w:val="2"/>
        <w:tblW w:w="94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258"/>
        <w:gridCol w:w="3339"/>
        <w:gridCol w:w="1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tblHeader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pacing w:val="10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pacing w:val="10"/>
                <w:kern w:val="0"/>
                <w:sz w:val="32"/>
                <w:szCs w:val="32"/>
              </w:rPr>
              <w:t>序号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pacing w:val="10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pacing w:val="10"/>
                <w:kern w:val="0"/>
                <w:sz w:val="32"/>
                <w:szCs w:val="32"/>
              </w:rPr>
              <w:t>社区养老服务机构</w:t>
            </w:r>
          </w:p>
        </w:tc>
        <w:tc>
          <w:tcPr>
            <w:tcW w:w="3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pacing w:val="10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pacing w:val="10"/>
                <w:kern w:val="0"/>
                <w:sz w:val="32"/>
                <w:szCs w:val="32"/>
              </w:rPr>
              <w:t>运营机构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pacing w:val="10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pacing w:val="10"/>
                <w:kern w:val="0"/>
                <w:sz w:val="32"/>
                <w:szCs w:val="32"/>
                <w:lang w:eastAsia="zh-CN"/>
              </w:rPr>
              <w:t>复评结果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深圳市福田区益田社区颐康之家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深圳市福田区福安养老事业发展中心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深圳市盐田区沙头角街道长者服务中心（国寿·悦享中心）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国寿社区健康养老管理（深圳）有限公司梧桐分公司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4A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深圳市福田区沙头街道长者服务中心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深圳市福田区福安养老事业发展中心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4A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深圳市光明区光明街道光明新村社区综合   服务中心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深圳光明凤润玖健康服务有限公司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4A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深圳市南山区招商街道长者服务中心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广州招商利泽养老服务有限公司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4A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深圳市光明区玉塘街道田寮社区老年人日间  照料中心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深圳祈康养老服务有限公司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3A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深圳市光明区光明街道光明社区老年人日间 照料中心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深圳祈康养老服务有限公司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3A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深圳市光明区凤凰玖龙台社区综合服务中心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深圳光明凤润玖健康服务有限公司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3A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深圳市宝安区新桥街道上星社区中心公园小区长者服务点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深圳市宝安区慧家社会事务服务中心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2A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深圳市宝安区福海街道桥头社区鸿德园小区  长者服务站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深圳市宝安区慧家社会事务服务中心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2A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深圳市宝安区新桥街道上星社区万科星城名邸小区长者服务点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深圳市宝安区鑫梓润养老服务中心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2A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深圳市光明区公明街道老年人日间照料中心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深圳市光明壹家亲社工服务中心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1A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深圳市宝安区沙井街道沙二社区怡安花园小区长者服务点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深圳市宝安区慧家社会事务服务中心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1A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深圳市宝安区沙井街道壆岗社区盛芳园小区 长者服务点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深圳市宝安区慧家社会事务服务中心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1A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深圳市宝安区石岩街道官田社区羊台苑小区 长者服务点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深圳市任达爱心护理院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10"/>
                <w:kern w:val="0"/>
                <w:sz w:val="28"/>
                <w:szCs w:val="28"/>
                <w:lang w:val="en-US" w:eastAsia="zh-CN" w:bidi="ar-SA"/>
              </w:rPr>
              <w:t>1A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63FA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马恒珠</cp:lastModifiedBy>
  <dcterms:modified xsi:type="dcterms:W3CDTF">2025-04-24T16:29:14Z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