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  <w:bookmarkStart w:id="0" w:name="_GoBack"/>
      <w:bookmarkEnd w:id="0"/>
      <mc:AlternateContent>
        <mc:Choice Requires="wpsCustomData">
          <wpsCustomData:docfieldStart id="0" docfieldname="内容" hidden="0" print="1" readonly="0" index="4"/>
        </mc:Choice>
      </mc:AlternateContent>
      <w:r>
        <w:rPr>
          <w:rFonts w:hint="eastAsia" w:ascii="黑体" w:hAnsi="黑体" w:eastAsia="黑体" w:cs="黑体"/>
          <w:color w:val="auto"/>
          <w:szCs w:val="32"/>
        </w:rPr>
        <w:t>附件1</w:t>
      </w: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spacing w:after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2024年全国敬老养老助老公益广告作品</w:t>
      </w:r>
    </w:p>
    <w:p>
      <w:pPr>
        <w:pStyle w:val="3"/>
        <w:spacing w:after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征集活动广播类扶持作品名单</w:t>
      </w:r>
    </w:p>
    <w:p>
      <w:pPr>
        <w:pStyle w:val="3"/>
        <w:spacing w:after="0" w:line="64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88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55"/>
        <w:gridCol w:w="1270"/>
        <w:gridCol w:w="3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时长（秒）</w:t>
            </w:r>
          </w:p>
        </w:tc>
        <w:tc>
          <w:tcPr>
            <w:tcW w:w="38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BFBFB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孝老爱亲 时差篇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中央广播电视总台总经理室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常回家看看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别只是“看看”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江苏省广播电视总台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别让孝心充满等待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湖北广播电视台新闻中心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像她一样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给她第一时间的回应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湖南芒果智媒科技发展有限公司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不是所有的陪伴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都能来日方长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云南省红河哈尼族彝族自治州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手机的电量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敬老理解篇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上海广播电视台东方广播中心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孝心 不能只在朋友圈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内蒙古自治区鄂尔多斯市融媒体中心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他们总说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央广云听文化传媒有限公司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别让你的爸妈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成为别人的“爸妈”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黑龙江省哈尔滨广播电视台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九九重阳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福建省福州广播电视台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时光信箱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宁夏回族自治区灵武市融媒体中心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敬老测试篇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上海广播电视台东方广播中心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手机时代的亲情守护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湖南芒果智媒科技发展有限公司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两代人的智慧宝典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江苏省广播电视总台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葫芦娃爷爷的老年生活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央广云听文化传媒有限公司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关爱老人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关注阿兹海默症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浙江人民广播电台音乐调频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银龄新时代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保持好心态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贵州广播电视台全媒体新闻中心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守护记忆 共筑幸福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内蒙古自治区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包头市广播电视台综合广播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被爱 更被需要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四川广播电视台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银发经济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浙江人民广播电台城市之声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1" w:type="dxa"/>
            <w:tcBorders>
              <w:top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等等他们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江苏省扬州广播电视台</w:t>
            </w:r>
          </w:p>
        </w:tc>
      </w:tr>
    </w:tbl>
    <w:p>
      <w:pPr>
        <w:pStyle w:val="3"/>
        <w:spacing w:after="0" w:line="360" w:lineRule="auto"/>
        <w:ind w:firstLine="320"/>
        <w:rPr>
          <w:rFonts w:hint="eastAsia" w:ascii="仿宋" w:hAnsi="仿宋" w:eastAsia="仿宋"/>
          <w:color w:val="auto"/>
          <w:szCs w:val="32"/>
        </w:rPr>
      </w:pPr>
    </w:p>
    <w:p>
      <w:pPr>
        <w:pStyle w:val="3"/>
        <w:spacing w:after="0" w:line="360" w:lineRule="auto"/>
        <w:ind w:firstLine="320"/>
        <w:rPr>
          <w:rFonts w:hint="eastAsia" w:ascii="仿宋" w:hAnsi="仿宋" w:eastAsia="仿宋"/>
          <w:color w:val="auto"/>
          <w:szCs w:val="32"/>
        </w:rPr>
      </w:pP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spacing w:after="0" w:line="36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</w:rPr>
      </w:pPr>
    </w:p>
    <mc:AlternateContent>
      <mc:Choice Requires="wpsCustomData">
        <wpsCustomData:docfieldEnd id="0"/>
      </mc:Choice>
    </mc:AlternateContent>
    <w:p>
      <w:pPr>
        <w:rPr>
          <w:color w:val="auto"/>
        </w:rPr>
      </w:pPr>
    </w:p>
    <w:sectPr>
      <w:footerReference r:id="rId3" w:type="default"/>
      <w:pgSz w:w="11906" w:h="16838"/>
      <w:pgMar w:top="2098" w:right="1531" w:bottom="1559" w:left="1531" w:header="992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A20C6"/>
    <w:rsid w:val="02DA63DE"/>
    <w:rsid w:val="05542478"/>
    <w:rsid w:val="12490E8B"/>
    <w:rsid w:val="1EF86D8A"/>
    <w:rsid w:val="3E9DACC5"/>
    <w:rsid w:val="3EAB0813"/>
    <w:rsid w:val="4C39729F"/>
    <w:rsid w:val="53A5346C"/>
    <w:rsid w:val="FFEFB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644</Characters>
  <Lines>0</Lines>
  <Paragraphs>0</Paragraphs>
  <TotalTime>6</TotalTime>
  <ScaleCrop>false</ScaleCrop>
  <LinksUpToDate>false</LinksUpToDate>
  <CharactersWithSpaces>663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马恒珠</cp:lastModifiedBy>
  <dcterms:modified xsi:type="dcterms:W3CDTF">2025-04-09T17:11:10Z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eyJoZGlkIjoiNGUxNWJjYTM4M2FkYWIxMjk4YjBkY2JmNWZkNzM2NTYiLCJ1c2VySWQiOiIyMDMzMzM2OTUifQ==</vt:lpwstr>
  </property>
  <property fmtid="{D5CDD505-2E9C-101B-9397-08002B2CF9AE}" pid="4" name="ICV">
    <vt:lpwstr>F9542054C62323E5AE39F667A3C0C9F8</vt:lpwstr>
  </property>
</Properties>
</file>