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default" w:ascii="宋体" w:hAnsi="宋体"/>
          <w:b/>
          <w:bCs/>
          <w:sz w:val="22"/>
          <w:szCs w:val="15"/>
        </w:rPr>
      </w:pPr>
      <w:bookmarkStart w:id="0" w:name="_Toc81816526"/>
      <w:bookmarkStart w:id="1" w:name="_Toc367972140"/>
      <w:bookmarkStart w:id="2" w:name="_Toc81816534"/>
      <w:r>
        <w:rPr>
          <w:rFonts w:hint="default" w:hAnsi="宋体"/>
          <w:b/>
          <w:bCs/>
          <w:sz w:val="22"/>
          <w:szCs w:val="15"/>
        </w:rPr>
        <w:t>附件3：</w:t>
      </w:r>
    </w:p>
    <w:p>
      <w:pPr>
        <w:pStyle w:val="3"/>
        <w:rPr>
          <w:rFonts w:hint="eastAsia"/>
          <w:b/>
          <w:bCs/>
        </w:rPr>
      </w:pPr>
      <w:r>
        <w:rPr>
          <w:rFonts w:hint="eastAsia" w:ascii="宋体" w:hAnsi="宋体"/>
          <w:b/>
          <w:bCs/>
        </w:rPr>
        <w:t>综合评分法评标信息</w:t>
      </w:r>
      <w:bookmarkEnd w:id="0"/>
    </w:p>
    <w:p>
      <w:pPr>
        <w:numPr>
          <w:ilvl w:val="0"/>
          <w:numId w:val="1"/>
        </w:numPr>
        <w:ind w:left="0" w:leftChars="0" w:firstLine="420" w:firstLineChars="0"/>
        <w:rPr>
          <w:rFonts w:cs="Times New Roman"/>
          <w:b/>
          <w:bCs/>
          <w:color w:val="auto"/>
          <w:sz w:val="22"/>
          <w:szCs w:val="21"/>
        </w:rPr>
      </w:pPr>
      <w:r>
        <w:rPr>
          <w:rFonts w:hint="eastAsia"/>
          <w:b/>
          <w:bCs/>
          <w:color w:val="auto"/>
          <w:sz w:val="28"/>
          <w:szCs w:val="21"/>
        </w:rPr>
        <w:t>评标信息</w:t>
      </w:r>
    </w:p>
    <w:p>
      <w:pPr>
        <w:pStyle w:val="5"/>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5"/>
        <w:snapToGrid w:val="0"/>
        <w:spacing w:before="0" w:beforeAutospacing="0" w:afterAutospacing="0"/>
        <w:ind w:firstLine="420"/>
        <w:rPr>
          <w:sz w:val="21"/>
          <w:szCs w:val="21"/>
        </w:rPr>
      </w:pPr>
      <w:r>
        <w:rPr>
          <w:sz w:val="21"/>
          <w:szCs w:val="21"/>
        </w:rPr>
        <w:t>价格分计算方法：</w:t>
      </w:r>
    </w:p>
    <w:p>
      <w:pPr>
        <w:snapToGrid w:val="0"/>
        <w:ind w:firstLine="420" w:firstLineChars="20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采用低价优先法计算，即满足招标文件要求且投标价格最低的投标报价为评标基准价，其价格分为满分。其他投标人的价格分统一按照下列公式计算：</w:t>
      </w:r>
    </w:p>
    <w:p>
      <w:pPr>
        <w:snapToGrid w:val="0"/>
        <w:ind w:firstLine="420" w:firstLineChars="20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 xml:space="preserve">投标报价得分=(评标基准价／投标报价)×100 </w:t>
      </w:r>
    </w:p>
    <w:p>
      <w:pPr>
        <w:snapToGrid w:val="0"/>
        <w:ind w:firstLine="420" w:firstLineChars="20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 xml:space="preserve">评标总得分＝F1×A1＋F2×A2＋……＋Fn×An </w:t>
      </w:r>
    </w:p>
    <w:p>
      <w:pPr>
        <w:snapToGrid w:val="0"/>
        <w:ind w:firstLine="420" w:firstLineChars="20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F1、F2……Fn分别为各项评审因素的得分；</w:t>
      </w:r>
    </w:p>
    <w:p>
      <w:pPr>
        <w:snapToGrid w:val="0"/>
        <w:ind w:firstLine="420" w:firstLineChars="20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A1、A2、……An 分别为各项评审因素所占的权重(A1＋A2＋……＋An＝1)。</w:t>
      </w:r>
    </w:p>
    <w:p>
      <w:pPr>
        <w:snapToGrid w:val="0"/>
        <w:ind w:firstLine="420" w:firstLineChars="200"/>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评标过程中，不得去掉报价中的最高报价和最低报价。</w:t>
      </w:r>
    </w:p>
    <w:p>
      <w:pPr>
        <w:pStyle w:val="5"/>
        <w:spacing w:before="0" w:beforeAutospacing="0" w:after="0" w:afterAutospacing="0"/>
        <w:ind w:firstLine="421" w:firstLineChars="200"/>
        <w:rPr>
          <w:rFonts w:hint="default" w:ascii="宋体" w:hAnsi="宋体" w:eastAsia="宋体"/>
          <w:b/>
          <w:bCs/>
          <w:snapToGrid/>
          <w:kern w:val="0"/>
          <w:sz w:val="21"/>
          <w:szCs w:val="21"/>
        </w:rPr>
      </w:pPr>
      <w:r>
        <w:rPr>
          <w:rFonts w:hint="default" w:ascii="宋体" w:hAnsi="宋体" w:eastAsia="宋体"/>
          <w:b/>
          <w:bCs/>
          <w:snapToGrid/>
          <w:kern w:val="0"/>
          <w:sz w:val="21"/>
          <w:szCs w:val="21"/>
        </w:rPr>
        <w:t>对于符合 “政府采购扶持政策”的小微企业、监狱企业和残疾人福利性单位，以调整后的价格计算评标基准价和投标报价。</w:t>
      </w:r>
    </w:p>
    <w:p>
      <w:pPr>
        <w:pStyle w:val="5"/>
        <w:spacing w:before="0" w:beforeAutospacing="0" w:after="0" w:afterAutospacing="0"/>
        <w:ind w:firstLine="421" w:firstLineChars="200"/>
        <w:rPr>
          <w:rFonts w:ascii="宋体" w:hAnsi="宋体" w:cs="宋体"/>
          <w:b/>
          <w:sz w:val="21"/>
          <w:szCs w:val="21"/>
        </w:rPr>
      </w:pPr>
      <w:r>
        <w:rPr>
          <w:rFonts w:hint="eastAsia" w:ascii="宋体" w:hAnsi="宋体" w:cs="宋体"/>
          <w:b/>
          <w:sz w:val="21"/>
          <w:szCs w:val="21"/>
        </w:rPr>
        <w:t>1.小型企业、微型企业、监狱企业和残疾人福利性单位均给予</w:t>
      </w:r>
      <w:r>
        <w:rPr>
          <w:rFonts w:hint="default" w:ascii="宋体" w:hAnsi="宋体" w:cs="宋体"/>
          <w:b/>
          <w:sz w:val="21"/>
          <w:szCs w:val="21"/>
        </w:rPr>
        <w:t>3</w:t>
      </w:r>
      <w:r>
        <w:rPr>
          <w:rFonts w:hint="eastAsia" w:ascii="宋体" w:hAnsi="宋体" w:cs="宋体"/>
          <w:b/>
          <w:sz w:val="21"/>
          <w:szCs w:val="21"/>
        </w:rPr>
        <w:t>%的扣除。</w:t>
      </w:r>
    </w:p>
    <w:p>
      <w:pPr>
        <w:pStyle w:val="4"/>
        <w:rPr>
          <w:rFonts w:hint="eastAsia" w:ascii="宋体" w:hAnsi="宋体" w:cs="宋体"/>
          <w:b/>
          <w:sz w:val="21"/>
          <w:szCs w:val="21"/>
        </w:rPr>
      </w:pPr>
      <w:r>
        <w:rPr>
          <w:rFonts w:hint="eastAsia" w:ascii="宋体" w:hAnsi="宋体" w:cs="宋体"/>
          <w:b/>
          <w:sz w:val="21"/>
          <w:szCs w:val="21"/>
        </w:rPr>
        <w:t>2.投标人同时为小型、微型企业、监狱企业和残疾人福利性单位的</w:t>
      </w:r>
      <w:r>
        <w:rPr>
          <w:rFonts w:ascii="宋体" w:hAnsi="宋体" w:cs="宋体"/>
          <w:b/>
          <w:bCs/>
          <w:sz w:val="21"/>
          <w:szCs w:val="21"/>
        </w:rPr>
        <w:t>（提供《中小企业声明函》或属于监狱企业的证明材料或《残疾人福利性单位声明函》）</w:t>
      </w:r>
      <w:r>
        <w:rPr>
          <w:rFonts w:hint="eastAsia" w:ascii="宋体" w:hAnsi="宋体" w:cs="宋体"/>
          <w:b/>
          <w:sz w:val="21"/>
          <w:szCs w:val="21"/>
        </w:rPr>
        <w:t>，评审中只享受一次价格扣除，不重复进行价格扣除。</w:t>
      </w:r>
    </w:p>
    <w:tbl>
      <w:tblPr>
        <w:tblStyle w:val="6"/>
        <w:tblW w:w="108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20" w:type="dxa"/>
          <w:left w:w="108" w:type="dxa"/>
          <w:bottom w:w="20" w:type="dxa"/>
          <w:right w:w="108" w:type="dxa"/>
        </w:tblCellMar>
      </w:tblPr>
      <w:tblGrid>
        <w:gridCol w:w="785"/>
        <w:gridCol w:w="743"/>
        <w:gridCol w:w="1144"/>
        <w:gridCol w:w="976"/>
        <w:gridCol w:w="71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319" w:hRule="atLeast"/>
          <w:jc w:val="center"/>
        </w:trPr>
        <w:tc>
          <w:tcPr>
            <w:tcW w:w="78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6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349" w:hRule="atLeast"/>
          <w:jc w:val="center"/>
        </w:trPr>
        <w:tc>
          <w:tcPr>
            <w:tcW w:w="78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jc w:val="both"/>
              <w:rPr>
                <w:rFonts w:hint="eastAsia" w:ascii="宋体" w:hAnsi="宋体" w:eastAsia="宋体" w:cs="宋体"/>
                <w:b/>
                <w:bCs/>
                <w:sz w:val="21"/>
                <w:szCs w:val="21"/>
              </w:rPr>
            </w:pPr>
            <w:r>
              <w:rPr>
                <w:rFonts w:hint="eastAsia" w:ascii="宋体" w:hAnsi="宋体" w:eastAsia="宋体" w:cs="宋体"/>
                <w:b/>
                <w:bCs/>
                <w:sz w:val="21"/>
                <w:szCs w:val="21"/>
              </w:rPr>
              <w:t>1</w:t>
            </w:r>
          </w:p>
        </w:tc>
        <w:tc>
          <w:tcPr>
            <w:tcW w:w="286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jc w:val="center"/>
              <w:rPr>
                <w:rFonts w:hint="default" w:ascii="宋体" w:hAnsi="宋体" w:eastAsia="宋体" w:cs="宋体"/>
                <w:b/>
                <w:bCs/>
                <w:sz w:val="21"/>
                <w:szCs w:val="21"/>
                <w:lang w:val="en-US" w:eastAsia="zh-CN"/>
              </w:rPr>
            </w:pPr>
            <w:r>
              <w:rPr>
                <w:rFonts w:hint="eastAsia" w:eastAsia="宋体" w:cs="宋体"/>
                <w:b/>
                <w:bCs/>
                <w:sz w:val="21"/>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349" w:hRule="atLeast"/>
          <w:jc w:val="center"/>
        </w:trPr>
        <w:tc>
          <w:tcPr>
            <w:tcW w:w="785" w:type="dxa"/>
            <w:vMerge w:val="restart"/>
            <w:tcBorders>
              <w:top w:val="single" w:color="000000" w:sz="8" w:space="0"/>
              <w:left w:val="single" w:color="000000" w:sz="8" w:space="0"/>
              <w:right w:val="single" w:color="000000" w:sz="8" w:space="0"/>
            </w:tcBorders>
            <w:shd w:val="clear" w:color="auto" w:fill="FFFFFF"/>
            <w:noWrap w:val="0"/>
            <w:vAlign w:val="top"/>
          </w:tcPr>
          <w:p>
            <w:pPr>
              <w:snapToGrid w:val="0"/>
              <w:jc w:val="both"/>
              <w:rPr>
                <w:rFonts w:hint="eastAsia" w:ascii="宋体" w:hAnsi="宋体" w:eastAsia="宋体" w:cs="宋体"/>
                <w:b/>
                <w:bCs/>
                <w:sz w:val="21"/>
                <w:szCs w:val="21"/>
              </w:rPr>
            </w:pPr>
            <w:r>
              <w:rPr>
                <w:rFonts w:hint="eastAsia" w:ascii="宋体" w:hAnsi="宋体" w:eastAsia="宋体" w:cs="宋体"/>
                <w:b/>
                <w:bCs/>
                <w:sz w:val="21"/>
                <w:szCs w:val="21"/>
              </w:rPr>
              <w:t>2</w:t>
            </w:r>
          </w:p>
        </w:tc>
        <w:tc>
          <w:tcPr>
            <w:tcW w:w="286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jc w:val="center"/>
              <w:rPr>
                <w:rFonts w:hint="default" w:ascii="宋体" w:hAnsi="宋体" w:eastAsia="宋体" w:cs="宋体"/>
                <w:b/>
                <w:bCs/>
                <w:sz w:val="21"/>
                <w:szCs w:val="21"/>
                <w:lang w:val="en-US" w:eastAsia="zh-CN"/>
              </w:rPr>
            </w:pPr>
            <w:r>
              <w:rPr>
                <w:rFonts w:hint="eastAsia" w:eastAsia="宋体" w:cs="宋体"/>
                <w:b/>
                <w:bCs/>
                <w:sz w:val="21"/>
                <w:szCs w:val="21"/>
                <w:lang w:val="en-US" w:eastAsia="zh-CN"/>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428"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序号</w:t>
            </w:r>
          </w:p>
        </w:tc>
        <w:tc>
          <w:tcPr>
            <w:tcW w:w="114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评分因素</w:t>
            </w:r>
          </w:p>
        </w:tc>
        <w:tc>
          <w:tcPr>
            <w:tcW w:w="9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权重(%)</w:t>
            </w:r>
          </w:p>
        </w:tc>
        <w:tc>
          <w:tcPr>
            <w:tcW w:w="71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1777"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项目实施方案</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（一）评审内容：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根据投标人提供的项目实施方案进行评价，内容包括但不限于：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1、工作措施；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2、工作方法；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3、工作手段；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4、工作流程。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（二）评审标准：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评审为优：方案内容全面、具体，科学合理，针对性、可操作性强，得</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评审为良：方案内容比较全面、具体，比较合理，具有一定针对性、可操作性，得</w:t>
            </w:r>
            <w:r>
              <w:rPr>
                <w:rFonts w:hint="eastAsia" w:ascii="宋体" w:hAnsi="宋体" w:eastAsia="宋体" w:cs="宋体"/>
                <w:sz w:val="21"/>
                <w:szCs w:val="21"/>
                <w:lang w:val="en-US" w:eastAsia="zh-CN"/>
              </w:rPr>
              <w:t>80</w:t>
            </w:r>
            <w:r>
              <w:rPr>
                <w:rFonts w:hint="eastAsia" w:ascii="宋体" w:hAnsi="宋体" w:eastAsia="宋体" w:cs="宋体"/>
                <w:sz w:val="21"/>
                <w:szCs w:val="21"/>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评审为中：有方案内容，合理性一般，部分方案具有针对性、可操作性，得</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0%；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评审为差：方案内容简单，缺乏针对性、可操作性，</w:t>
            </w:r>
            <w:r>
              <w:rPr>
                <w:rFonts w:hint="eastAsia" w:ascii="宋体" w:hAnsi="宋体" w:eastAsia="宋体" w:cs="宋体"/>
                <w:sz w:val="21"/>
                <w:szCs w:val="21"/>
                <w:lang w:val="en-US" w:eastAsia="zh-CN"/>
              </w:rPr>
              <w:t>得40%</w:t>
            </w:r>
            <w:r>
              <w:rPr>
                <w:rFonts w:hint="eastAsia" w:ascii="宋体" w:hAnsi="宋体" w:eastAsia="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4158"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项目重点难点分析、应对措施及相关的合理化建议</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（一）评审内容：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根据投标人提供的重点难点分析、应对措施及相关的合理化建议方案内容进行评价，内容包括但不限于：</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1、项目基本情况分析；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2、项目重点难点分析；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3、对应的应对措施；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4、相关的合理化建议。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（二）评审标准：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评审为优：方案内容全面、具体，科学合理，针对性、可操作性强，得</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评审为良：方案内容比较全面、具体，比较合理，具有一定针对性、可操作性，得</w:t>
            </w:r>
            <w:r>
              <w:rPr>
                <w:rFonts w:hint="eastAsia" w:ascii="宋体" w:hAnsi="宋体" w:eastAsia="宋体" w:cs="宋体"/>
                <w:sz w:val="21"/>
                <w:szCs w:val="21"/>
                <w:lang w:val="en-US" w:eastAsia="zh-CN"/>
              </w:rPr>
              <w:t>80</w:t>
            </w:r>
            <w:r>
              <w:rPr>
                <w:rFonts w:hint="eastAsia" w:ascii="宋体" w:hAnsi="宋体" w:eastAsia="宋体" w:cs="宋体"/>
                <w:sz w:val="21"/>
                <w:szCs w:val="21"/>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评审为中：有方案内容，合理性一般，部分方案具有针对性、可操作性，得</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0%；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评审为差：方案内容简单，缺乏针对性、可操作性，</w:t>
            </w:r>
            <w:r>
              <w:rPr>
                <w:rFonts w:hint="eastAsia" w:ascii="宋体" w:hAnsi="宋体" w:eastAsia="宋体" w:cs="宋体"/>
                <w:sz w:val="21"/>
                <w:szCs w:val="21"/>
                <w:lang w:val="en-US" w:eastAsia="zh-CN"/>
              </w:rPr>
              <w:t>得40%</w:t>
            </w:r>
            <w:r>
              <w:rPr>
                <w:rFonts w:hint="eastAsia" w:ascii="宋体" w:hAnsi="宋体" w:eastAsia="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3965"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质量保障措施及方案</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（一）评审内容：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根据投标人提供的质量（完成时间、安全）保障措施及方案进行评价，内容包括但不限于：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1、项目服务质量目标；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2、项目服务质量计划；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3、项目服务组织保证；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4、项目服务工作体系。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（二）评审标准：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评审为优：方案内容全面、具体，科学合理，针对性、可操作性强，得</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评审为良：方案内容比较全面、具体，比较合理，具有一定针对性、可操作性，得</w:t>
            </w:r>
            <w:r>
              <w:rPr>
                <w:rFonts w:hint="eastAsia" w:ascii="宋体" w:hAnsi="宋体" w:eastAsia="宋体" w:cs="宋体"/>
                <w:sz w:val="21"/>
                <w:szCs w:val="21"/>
                <w:lang w:val="en-US" w:eastAsia="zh-CN"/>
              </w:rPr>
              <w:t>80</w:t>
            </w:r>
            <w:r>
              <w:rPr>
                <w:rFonts w:hint="eastAsia" w:ascii="宋体" w:hAnsi="宋体" w:eastAsia="宋体" w:cs="宋体"/>
                <w:sz w:val="21"/>
                <w:szCs w:val="21"/>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评审为中：有方案内容，合理性一般，部分方案具有针对性、可操作性，得</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0%；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评审为差：方案内容简单，缺乏针对性、可操作性，</w:t>
            </w:r>
            <w:r>
              <w:rPr>
                <w:rFonts w:hint="eastAsia" w:ascii="宋体" w:hAnsi="宋体" w:eastAsia="宋体" w:cs="宋体"/>
                <w:sz w:val="21"/>
                <w:szCs w:val="21"/>
                <w:lang w:val="en-US" w:eastAsia="zh-CN"/>
              </w:rPr>
              <w:t>得40%</w:t>
            </w:r>
            <w:r>
              <w:rPr>
                <w:rFonts w:hint="eastAsia" w:ascii="宋体" w:hAnsi="宋体" w:eastAsia="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90"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4</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项目负责人情况（仅限1人）</w:t>
            </w:r>
          </w:p>
          <w:p>
            <w:pPr>
              <w:snapToGrid w:val="0"/>
              <w:spacing w:line="240" w:lineRule="auto"/>
              <w:ind w:left="0" w:leftChars="0" w:firstLine="0" w:firstLineChars="0"/>
              <w:jc w:val="left"/>
              <w:rPr>
                <w:rFonts w:hint="eastAsia" w:ascii="宋体" w:hAnsi="宋体" w:eastAsia="宋体" w:cs="宋体"/>
                <w:sz w:val="21"/>
                <w:szCs w:val="21"/>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（一）评审内容：</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投标人拟安排本项目</w:t>
            </w:r>
            <w:r>
              <w:rPr>
                <w:rFonts w:hint="eastAsia" w:ascii="宋体" w:hAnsi="宋体" w:eastAsia="宋体" w:cs="宋体"/>
                <w:sz w:val="21"/>
                <w:szCs w:val="21"/>
                <w:lang w:val="en-US" w:eastAsia="zh-CN"/>
              </w:rPr>
              <w:t>的</w:t>
            </w:r>
            <w:r>
              <w:rPr>
                <w:rFonts w:hint="eastAsia" w:ascii="宋体" w:hAnsi="宋体" w:eastAsia="宋体" w:cs="宋体"/>
                <w:sz w:val="21"/>
                <w:szCs w:val="21"/>
              </w:rPr>
              <w:t>项目负责人须为自有员工：</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1、具有国家机关（或事业单位）颁发的一级建造师注册证书</w:t>
            </w:r>
            <w:r>
              <w:rPr>
                <w:rFonts w:hint="eastAsia" w:ascii="宋体" w:hAnsi="宋体" w:eastAsia="宋体" w:cs="宋体"/>
                <w:sz w:val="21"/>
                <w:szCs w:val="21"/>
                <w:lang w:eastAsia="zh-CN"/>
              </w:rPr>
              <w:t>（机电专业）</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2、具有国家机关（或事业单位）颁发的注册安全工程师证书的得</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0%；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3、具有国家机关（或事业单位）颁发的一级注册消防工程师证书的得20%；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4、具有安全生产考核合格证</w:t>
            </w:r>
            <w:r>
              <w:rPr>
                <w:rFonts w:hint="eastAsia" w:ascii="宋体" w:hAnsi="宋体" w:eastAsia="宋体" w:cs="宋体"/>
                <w:sz w:val="21"/>
                <w:szCs w:val="21"/>
                <w:lang w:val="en-US" w:eastAsia="zh-CN"/>
              </w:rPr>
              <w:t>书</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以上1-4项合计最高得100%。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（二）评审依据：</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1、第1项提供有效证书扫描件，注册单位须为投标人；</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2、第2项提供有效证书扫描件，注册单位须为投标人；</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3、第3项提供有效证书扫描件，注册单位须为投标人；</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4、第4项需提供有效证书扫描件，</w:t>
            </w:r>
            <w:r>
              <w:rPr>
                <w:rFonts w:hint="eastAsia" w:ascii="宋体" w:hAnsi="宋体" w:eastAsia="宋体" w:cs="宋体"/>
                <w:sz w:val="21"/>
                <w:szCs w:val="21"/>
                <w:lang w:val="en-US" w:eastAsia="zh-CN"/>
              </w:rPr>
              <w:t>证书</w:t>
            </w:r>
            <w:r>
              <w:rPr>
                <w:rFonts w:hint="eastAsia" w:ascii="宋体" w:hAnsi="宋体" w:eastAsia="宋体" w:cs="宋体"/>
                <w:sz w:val="21"/>
                <w:szCs w:val="21"/>
              </w:rPr>
              <w:t>单位须为投标人；</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5、提供该人员开标日前</w:t>
            </w:r>
            <w:r>
              <w:rPr>
                <w:rFonts w:hint="eastAsia" w:ascii="宋体" w:hAnsi="宋体" w:eastAsia="宋体" w:cs="宋体"/>
                <w:sz w:val="21"/>
                <w:szCs w:val="21"/>
                <w:lang w:val="en-US" w:eastAsia="zh-CN"/>
              </w:rPr>
              <w:t>3</w:t>
            </w:r>
            <w:r>
              <w:rPr>
                <w:rFonts w:hint="eastAsia" w:ascii="宋体" w:hAnsi="宋体" w:eastAsia="宋体" w:cs="宋体"/>
                <w:sz w:val="21"/>
                <w:szCs w:val="21"/>
              </w:rPr>
              <w:t>个月在本公司缴纳且载有社保部门公章（或税务部门公章）的社保缴交证明材料（如开标日上一个月的社保材料因社保部门（或税务部门）原因暂时无法取得，则可以往前顺延一个月）；</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6、未按要求提供相关材料或扫描件不清晰导致无法判断内容的不得分，原件备查。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1267"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5</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技术负责人情况（仅限1人）</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（一）评审内容:</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投标人拟安排本项目</w:t>
            </w:r>
            <w:r>
              <w:rPr>
                <w:rFonts w:hint="eastAsia" w:ascii="宋体" w:hAnsi="宋体" w:eastAsia="宋体" w:cs="宋体"/>
                <w:sz w:val="21"/>
                <w:szCs w:val="21"/>
                <w:lang w:val="en-US" w:eastAsia="zh-CN"/>
              </w:rPr>
              <w:t>的</w:t>
            </w:r>
            <w:r>
              <w:rPr>
                <w:rFonts w:hint="eastAsia" w:ascii="宋体" w:hAnsi="宋体" w:eastAsia="宋体" w:cs="宋体"/>
                <w:sz w:val="21"/>
                <w:szCs w:val="21"/>
              </w:rPr>
              <w:t>技术负责人须为自有员工：</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1、具有国家机关（或事业单位）颁发的一级注册消防工程师证书的得</w:t>
            </w:r>
            <w:r>
              <w:rPr>
                <w:rFonts w:hint="eastAsia" w:ascii="宋体" w:hAnsi="宋体" w:eastAsia="宋体" w:cs="宋体"/>
                <w:sz w:val="21"/>
                <w:szCs w:val="21"/>
                <w:lang w:val="en-US" w:eastAsia="zh-CN"/>
              </w:rPr>
              <w:t>4</w:t>
            </w:r>
            <w:r>
              <w:rPr>
                <w:rFonts w:hint="eastAsia" w:ascii="宋体" w:hAnsi="宋体" w:eastAsia="宋体" w:cs="宋体"/>
                <w:sz w:val="21"/>
                <w:szCs w:val="21"/>
              </w:rPr>
              <w:t>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、具有国家</w:t>
            </w:r>
            <w:r>
              <w:rPr>
                <w:rFonts w:hint="eastAsia" w:ascii="宋体" w:hAnsi="宋体" w:eastAsia="宋体" w:cs="宋体"/>
                <w:sz w:val="21"/>
                <w:szCs w:val="21"/>
                <w:lang w:val="en-US" w:eastAsia="zh-CN"/>
              </w:rPr>
              <w:t>级行业协会</w:t>
            </w:r>
            <w:r>
              <w:rPr>
                <w:rFonts w:hint="eastAsia" w:ascii="宋体" w:hAnsi="宋体" w:eastAsia="宋体" w:cs="宋体"/>
                <w:sz w:val="21"/>
                <w:szCs w:val="21"/>
              </w:rPr>
              <w:t>颁发的</w:t>
            </w:r>
            <w:r>
              <w:rPr>
                <w:rFonts w:hint="eastAsia" w:ascii="宋体" w:hAnsi="宋体" w:eastAsia="宋体" w:cs="宋体"/>
                <w:sz w:val="21"/>
                <w:szCs w:val="21"/>
                <w:lang w:val="en-US" w:eastAsia="zh-CN"/>
              </w:rPr>
              <w:t>高</w:t>
            </w:r>
            <w:r>
              <w:rPr>
                <w:rFonts w:hint="eastAsia" w:ascii="宋体" w:hAnsi="宋体" w:eastAsia="宋体" w:cs="宋体"/>
                <w:sz w:val="21"/>
                <w:szCs w:val="21"/>
              </w:rPr>
              <w:t>级/</w:t>
            </w:r>
            <w:r>
              <w:rPr>
                <w:rFonts w:hint="eastAsia" w:ascii="宋体" w:hAnsi="宋体" w:eastAsia="宋体" w:cs="宋体"/>
                <w:sz w:val="21"/>
                <w:szCs w:val="21"/>
                <w:lang w:val="en-US" w:eastAsia="zh-CN"/>
              </w:rPr>
              <w:t>三</w:t>
            </w:r>
            <w:r>
              <w:rPr>
                <w:rFonts w:hint="eastAsia" w:ascii="宋体" w:hAnsi="宋体" w:eastAsia="宋体" w:cs="宋体"/>
                <w:sz w:val="21"/>
                <w:szCs w:val="21"/>
              </w:rPr>
              <w:t>级或以上消防安全管理员证书的得</w:t>
            </w:r>
            <w:r>
              <w:rPr>
                <w:rFonts w:hint="eastAsia" w:ascii="宋体" w:hAnsi="宋体" w:eastAsia="宋体" w:cs="宋体"/>
                <w:sz w:val="21"/>
                <w:szCs w:val="21"/>
                <w:lang w:val="en-US" w:eastAsia="zh-CN"/>
              </w:rPr>
              <w:t>40</w:t>
            </w:r>
            <w:r>
              <w:rPr>
                <w:rFonts w:hint="eastAsia" w:ascii="宋体" w:hAnsi="宋体" w:eastAsia="宋体" w:cs="宋体"/>
                <w:sz w:val="21"/>
                <w:szCs w:val="21"/>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、具有全日制本科或以上学历</w:t>
            </w:r>
            <w:r>
              <w:rPr>
                <w:rFonts w:hint="eastAsia" w:ascii="宋体" w:hAnsi="宋体" w:eastAsia="宋体" w:cs="宋体"/>
                <w:sz w:val="21"/>
                <w:szCs w:val="21"/>
                <w:lang w:val="en-US" w:eastAsia="zh-CN"/>
              </w:rPr>
              <w:t>得20</w:t>
            </w:r>
            <w:r>
              <w:rPr>
                <w:rFonts w:hint="eastAsia" w:ascii="宋体" w:hAnsi="宋体" w:eastAsia="宋体" w:cs="宋体"/>
                <w:sz w:val="21"/>
                <w:szCs w:val="21"/>
              </w:rPr>
              <w:t>%，专业要求：消防工程</w:t>
            </w:r>
            <w:r>
              <w:rPr>
                <w:rFonts w:hint="eastAsia" w:ascii="宋体" w:hAnsi="宋体" w:eastAsia="宋体" w:cs="宋体"/>
                <w:sz w:val="21"/>
                <w:szCs w:val="21"/>
                <w:lang w:val="en-US" w:eastAsia="zh-CN"/>
              </w:rPr>
              <w:t>或安全工程</w:t>
            </w:r>
            <w:r>
              <w:rPr>
                <w:rFonts w:hint="eastAsia" w:ascii="宋体" w:hAnsi="宋体" w:eastAsia="宋体" w:cs="宋体"/>
                <w:sz w:val="21"/>
                <w:szCs w:val="21"/>
                <w:lang w:eastAsia="zh-CN"/>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以上1-</w:t>
            </w:r>
            <w:r>
              <w:rPr>
                <w:rFonts w:hint="eastAsia" w:ascii="宋体" w:hAnsi="宋体" w:eastAsia="宋体" w:cs="宋体"/>
                <w:sz w:val="21"/>
                <w:szCs w:val="21"/>
                <w:lang w:val="en-US" w:eastAsia="zh-CN"/>
              </w:rPr>
              <w:t>3</w:t>
            </w:r>
            <w:r>
              <w:rPr>
                <w:rFonts w:hint="eastAsia" w:ascii="宋体" w:hAnsi="宋体" w:eastAsia="宋体" w:cs="宋体"/>
                <w:sz w:val="21"/>
                <w:szCs w:val="21"/>
              </w:rPr>
              <w:t>项合计最高得100%。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（二）评审依据：</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1、第1项提供有效证书扫描件，注册单位须为投标人；</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、第</w:t>
            </w:r>
            <w:r>
              <w:rPr>
                <w:rFonts w:hint="eastAsia" w:ascii="宋体" w:hAnsi="宋体" w:eastAsia="宋体" w:cs="宋体"/>
                <w:sz w:val="21"/>
                <w:szCs w:val="21"/>
                <w:lang w:val="en-US" w:eastAsia="zh-CN"/>
              </w:rPr>
              <w:t>2</w:t>
            </w:r>
            <w:r>
              <w:rPr>
                <w:rFonts w:hint="eastAsia" w:ascii="宋体" w:hAnsi="宋体" w:eastAsia="宋体" w:cs="宋体"/>
                <w:sz w:val="21"/>
                <w:szCs w:val="21"/>
              </w:rPr>
              <w:t>项提供有效证书扫描件；</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、第</w:t>
            </w:r>
            <w:r>
              <w:rPr>
                <w:rFonts w:hint="eastAsia" w:ascii="宋体" w:hAnsi="宋体" w:eastAsia="宋体" w:cs="宋体"/>
                <w:sz w:val="21"/>
                <w:szCs w:val="21"/>
                <w:lang w:val="en-US" w:eastAsia="zh-CN"/>
              </w:rPr>
              <w:t>3</w:t>
            </w:r>
            <w:r>
              <w:rPr>
                <w:rFonts w:hint="eastAsia" w:ascii="宋体" w:hAnsi="宋体" w:eastAsia="宋体" w:cs="宋体"/>
                <w:sz w:val="21"/>
                <w:szCs w:val="21"/>
              </w:rPr>
              <w:t>项提供学历证书扫描件，并提供学信网信息查询截图（如由于毕业年份较早无法查询的，可提供毕业院校或者人社部门或教育主管部门出具的证明材料扫描件）；</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、提供该人员开标日前</w:t>
            </w:r>
            <w:r>
              <w:rPr>
                <w:rFonts w:hint="eastAsia" w:ascii="宋体" w:hAnsi="宋体" w:eastAsia="宋体" w:cs="宋体"/>
                <w:sz w:val="21"/>
                <w:szCs w:val="21"/>
                <w:lang w:val="en-US" w:eastAsia="zh-CN"/>
              </w:rPr>
              <w:t>3</w:t>
            </w:r>
            <w:r>
              <w:rPr>
                <w:rFonts w:hint="eastAsia" w:ascii="宋体" w:hAnsi="宋体" w:eastAsia="宋体" w:cs="宋体"/>
                <w:sz w:val="21"/>
                <w:szCs w:val="21"/>
              </w:rPr>
              <w:t>个月在本公司缴纳且载有社保部门公章（或税务部门公章）的社保缴交证明材料（如开标日上一个月的社保材料因社保部门（或税务部门）原因暂时无法取得，则可以往前顺延一个月）；</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6、未按要求提供相关材料或扫描件不清晰导致无法判断内容的不得分，原件备查。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673" w:hRule="atLeast"/>
          <w:jc w:val="center"/>
        </w:trPr>
        <w:tc>
          <w:tcPr>
            <w:tcW w:w="785" w:type="dxa"/>
            <w:vMerge w:val="continue"/>
            <w:tcBorders>
              <w:left w:val="single" w:color="000000" w:sz="8" w:space="0"/>
              <w:bottom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项目团队成员情况（项目负责人、技术负责人除外）</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（一）评审内容:</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投标人拟安排本项目团队成员须为自有员工：</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1、具有国家机关（或事业单位）颁发的一级注册消防工程师证书的，每提供1人得</w:t>
            </w:r>
            <w:r>
              <w:rPr>
                <w:rFonts w:hint="eastAsia" w:ascii="宋体" w:hAnsi="宋体" w:eastAsia="宋体" w:cs="宋体"/>
                <w:sz w:val="21"/>
                <w:szCs w:val="21"/>
                <w:lang w:val="en-US" w:eastAsia="zh-CN"/>
              </w:rPr>
              <w:t>10</w:t>
            </w:r>
            <w:r>
              <w:rPr>
                <w:rFonts w:hint="eastAsia" w:ascii="宋体" w:hAnsi="宋体" w:eastAsia="宋体" w:cs="宋体"/>
                <w:sz w:val="21"/>
                <w:szCs w:val="21"/>
              </w:rPr>
              <w:t>%，本项最高得3</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2、具有国家</w:t>
            </w:r>
            <w:r>
              <w:rPr>
                <w:rFonts w:hint="eastAsia" w:ascii="宋体" w:hAnsi="宋体" w:eastAsia="宋体" w:cs="宋体"/>
                <w:sz w:val="21"/>
                <w:szCs w:val="21"/>
                <w:lang w:val="en-US" w:eastAsia="zh-CN"/>
              </w:rPr>
              <w:t>级行业协会</w:t>
            </w:r>
            <w:r>
              <w:rPr>
                <w:rFonts w:hint="eastAsia" w:ascii="宋体" w:hAnsi="宋体" w:eastAsia="宋体" w:cs="宋体"/>
                <w:sz w:val="21"/>
                <w:szCs w:val="21"/>
              </w:rPr>
              <w:t>颁发的</w:t>
            </w:r>
            <w:r>
              <w:rPr>
                <w:rFonts w:hint="eastAsia" w:ascii="宋体" w:hAnsi="宋体" w:eastAsia="宋体" w:cs="宋体"/>
                <w:sz w:val="21"/>
                <w:szCs w:val="21"/>
                <w:lang w:val="en-US" w:eastAsia="zh-CN"/>
              </w:rPr>
              <w:t>高</w:t>
            </w:r>
            <w:r>
              <w:rPr>
                <w:rFonts w:hint="eastAsia" w:ascii="宋体" w:hAnsi="宋体" w:eastAsia="宋体" w:cs="宋体"/>
                <w:sz w:val="21"/>
                <w:szCs w:val="21"/>
              </w:rPr>
              <w:t>级/</w:t>
            </w:r>
            <w:r>
              <w:rPr>
                <w:rFonts w:hint="eastAsia" w:ascii="宋体" w:hAnsi="宋体" w:eastAsia="宋体" w:cs="宋体"/>
                <w:sz w:val="21"/>
                <w:szCs w:val="21"/>
                <w:lang w:val="en-US" w:eastAsia="zh-CN"/>
              </w:rPr>
              <w:t>三</w:t>
            </w:r>
            <w:r>
              <w:rPr>
                <w:rFonts w:hint="eastAsia" w:ascii="宋体" w:hAnsi="宋体" w:eastAsia="宋体" w:cs="宋体"/>
                <w:sz w:val="21"/>
                <w:szCs w:val="21"/>
              </w:rPr>
              <w:t>级或以上消防安全管理员证书的，每提供1人得10%，本项最高得</w:t>
            </w:r>
            <w:r>
              <w:rPr>
                <w:rFonts w:hint="eastAsia" w:ascii="宋体" w:hAnsi="宋体" w:eastAsia="宋体" w:cs="宋体"/>
                <w:sz w:val="21"/>
                <w:szCs w:val="21"/>
                <w:lang w:val="en-US" w:eastAsia="zh-CN"/>
              </w:rPr>
              <w:t>4</w:t>
            </w:r>
            <w:r>
              <w:rPr>
                <w:rFonts w:hint="eastAsia" w:ascii="宋体" w:hAnsi="宋体" w:eastAsia="宋体" w:cs="宋体"/>
                <w:sz w:val="21"/>
                <w:szCs w:val="21"/>
              </w:rPr>
              <w:t>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3、具有国家机关（或事业单位）颁发的特种作业操作证（作业类别：电工作业；准操项目：低压电工作业）的，每提供1人得</w:t>
            </w:r>
            <w:r>
              <w:rPr>
                <w:rFonts w:hint="eastAsia" w:ascii="宋体" w:hAnsi="宋体" w:eastAsia="宋体" w:cs="宋体"/>
                <w:sz w:val="21"/>
                <w:szCs w:val="21"/>
                <w:lang w:val="en-US" w:eastAsia="zh-CN"/>
              </w:rPr>
              <w:t>5</w:t>
            </w:r>
            <w:r>
              <w:rPr>
                <w:rFonts w:hint="eastAsia" w:ascii="宋体" w:hAnsi="宋体" w:eastAsia="宋体" w:cs="宋体"/>
                <w:sz w:val="21"/>
                <w:szCs w:val="21"/>
              </w:rPr>
              <w:t>%，本项最高得10%；</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具有</w:t>
            </w:r>
            <w:r>
              <w:rPr>
                <w:rFonts w:hint="eastAsia" w:ascii="宋体" w:hAnsi="宋体" w:eastAsia="宋体" w:cs="宋体"/>
                <w:sz w:val="21"/>
                <w:szCs w:val="21"/>
                <w:lang w:eastAsia="zh-CN"/>
              </w:rPr>
              <w:t>安全员、施工员、</w:t>
            </w:r>
            <w:r>
              <w:rPr>
                <w:rFonts w:hint="eastAsia" w:ascii="宋体" w:hAnsi="宋体" w:eastAsia="宋体" w:cs="宋体"/>
                <w:sz w:val="21"/>
                <w:szCs w:val="21"/>
                <w:lang w:val="en-US" w:eastAsia="zh-CN"/>
              </w:rPr>
              <w:t>质量员、</w:t>
            </w:r>
            <w:r>
              <w:rPr>
                <w:rFonts w:hint="eastAsia" w:ascii="宋体" w:hAnsi="宋体" w:eastAsia="宋体" w:cs="宋体"/>
                <w:sz w:val="21"/>
                <w:szCs w:val="21"/>
                <w:lang w:eastAsia="zh-CN"/>
              </w:rPr>
              <w:t>材料员</w:t>
            </w:r>
            <w:r>
              <w:rPr>
                <w:rFonts w:hint="eastAsia" w:ascii="宋体" w:hAnsi="宋体" w:eastAsia="宋体" w:cs="宋体"/>
                <w:sz w:val="21"/>
                <w:szCs w:val="21"/>
              </w:rPr>
              <w:t>证书的，每提供1</w:t>
            </w:r>
            <w:r>
              <w:rPr>
                <w:rFonts w:hint="eastAsia" w:ascii="宋体" w:hAnsi="宋体" w:eastAsia="宋体" w:cs="宋体"/>
                <w:sz w:val="21"/>
                <w:szCs w:val="21"/>
                <w:lang w:val="en-US" w:eastAsia="zh-CN"/>
              </w:rPr>
              <w:t>人各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%，本项最高得</w:t>
            </w:r>
            <w:r>
              <w:rPr>
                <w:rFonts w:hint="eastAsia" w:ascii="宋体" w:hAnsi="宋体" w:eastAsia="宋体" w:cs="宋体"/>
                <w:sz w:val="21"/>
                <w:szCs w:val="21"/>
                <w:lang w:val="en-US" w:eastAsia="zh-CN"/>
              </w:rPr>
              <w:t>20</w:t>
            </w:r>
            <w:r>
              <w:rPr>
                <w:rFonts w:hint="eastAsia" w:ascii="宋体" w:hAnsi="宋体" w:eastAsia="宋体" w:cs="宋体"/>
                <w:sz w:val="21"/>
                <w:szCs w:val="21"/>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以上1-4项合计最高得100%；同一人不重复计分，如同一人具有多种证书的，以最高得分证书计分。</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（二）评审依据：</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1、第1项提供有效证书扫描件，注册单位须为投标人；</w:t>
            </w:r>
          </w:p>
          <w:p>
            <w:pPr>
              <w:snapToGrid w:val="0"/>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2、第2项提供有效证书扫描件，并提供</w:t>
            </w:r>
            <w:r>
              <w:rPr>
                <w:rFonts w:hint="eastAsia" w:ascii="宋体" w:hAnsi="宋体" w:eastAsia="宋体" w:cs="宋体"/>
                <w:sz w:val="21"/>
                <w:szCs w:val="21"/>
                <w:lang w:val="en-US" w:eastAsia="zh-CN"/>
              </w:rPr>
              <w:t>中国消防协会</w:t>
            </w:r>
            <w:r>
              <w:rPr>
                <w:rFonts w:hint="eastAsia" w:ascii="宋体" w:hAnsi="宋体" w:eastAsia="宋体" w:cs="宋体"/>
                <w:sz w:val="21"/>
                <w:szCs w:val="21"/>
              </w:rPr>
              <w:t>注册信息查询截图</w:t>
            </w:r>
            <w:r>
              <w:rPr>
                <w:rFonts w:hint="eastAsia" w:ascii="宋体" w:hAnsi="宋体" w:eastAsia="宋体" w:cs="宋体"/>
                <w:sz w:val="21"/>
                <w:szCs w:val="21"/>
                <w:lang w:eastAsia="zh-CN"/>
              </w:rPr>
              <w:t>；</w:t>
            </w:r>
          </w:p>
          <w:p>
            <w:pPr>
              <w:snapToGrid w:val="0"/>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第</w:t>
            </w:r>
            <w:r>
              <w:rPr>
                <w:rFonts w:hint="eastAsia" w:ascii="宋体" w:hAnsi="宋体" w:eastAsia="宋体" w:cs="宋体"/>
                <w:sz w:val="21"/>
                <w:szCs w:val="21"/>
                <w:lang w:val="en-US" w:eastAsia="zh-CN"/>
              </w:rPr>
              <w:t>3</w:t>
            </w:r>
            <w:r>
              <w:rPr>
                <w:rFonts w:hint="eastAsia" w:ascii="宋体" w:hAnsi="宋体" w:eastAsia="宋体" w:cs="宋体"/>
                <w:sz w:val="21"/>
                <w:szCs w:val="21"/>
              </w:rPr>
              <w:t>项提供有效证书扫描件，</w:t>
            </w:r>
            <w:r>
              <w:rPr>
                <w:rFonts w:hint="eastAsia" w:ascii="宋体" w:hAnsi="宋体" w:eastAsia="宋体" w:cs="宋体"/>
                <w:sz w:val="21"/>
                <w:szCs w:val="21"/>
                <w:lang w:val="en-US" w:eastAsia="zh-CN"/>
              </w:rPr>
              <w:t>注册单位须为投标人</w:t>
            </w:r>
            <w:r>
              <w:rPr>
                <w:rFonts w:hint="eastAsia" w:ascii="宋体" w:hAnsi="宋体" w:eastAsia="宋体" w:cs="宋体"/>
                <w:sz w:val="21"/>
                <w:szCs w:val="21"/>
                <w:lang w:eastAsia="zh-CN"/>
              </w:rPr>
              <w:t>；</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第</w:t>
            </w:r>
            <w:r>
              <w:rPr>
                <w:rFonts w:hint="eastAsia" w:ascii="宋体" w:hAnsi="宋体" w:eastAsia="宋体" w:cs="宋体"/>
                <w:sz w:val="21"/>
                <w:szCs w:val="21"/>
                <w:lang w:val="en-US" w:eastAsia="zh-CN"/>
              </w:rPr>
              <w:t>4</w:t>
            </w:r>
            <w:r>
              <w:rPr>
                <w:rFonts w:hint="eastAsia" w:ascii="宋体" w:hAnsi="宋体" w:eastAsia="宋体" w:cs="宋体"/>
                <w:sz w:val="21"/>
                <w:szCs w:val="21"/>
              </w:rPr>
              <w:t>项提供有效证书扫描件；</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、提供该人员开标日前</w:t>
            </w:r>
            <w:r>
              <w:rPr>
                <w:rFonts w:hint="eastAsia" w:ascii="宋体" w:hAnsi="宋体" w:eastAsia="宋体" w:cs="宋体"/>
                <w:sz w:val="21"/>
                <w:szCs w:val="21"/>
                <w:lang w:val="en-US" w:eastAsia="zh-CN"/>
              </w:rPr>
              <w:t>3</w:t>
            </w:r>
            <w:r>
              <w:rPr>
                <w:rFonts w:hint="eastAsia" w:ascii="宋体" w:hAnsi="宋体" w:eastAsia="宋体" w:cs="宋体"/>
                <w:sz w:val="21"/>
                <w:szCs w:val="21"/>
              </w:rPr>
              <w:t>个月在本公司缴纳且载有社保部门公章（或税务部门公章）的社保缴交证明材料（如开标日上一个月的社保材料因社保部门（或税务部门）原因暂时无法取得，则可以往前顺延一个月）；</w:t>
            </w:r>
          </w:p>
          <w:p>
            <w:pPr>
              <w:snapToGrid w:val="0"/>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、未按要求提供相关材料或扫描件不清晰导致无法判断内容的不得分，原件备查。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349" w:hRule="atLeast"/>
          <w:jc w:val="center"/>
        </w:trPr>
        <w:tc>
          <w:tcPr>
            <w:tcW w:w="785" w:type="dxa"/>
            <w:vMerge w:val="restart"/>
            <w:tcBorders>
              <w:top w:val="single" w:color="000000" w:sz="8" w:space="0"/>
              <w:left w:val="single" w:color="000000" w:sz="8" w:space="0"/>
              <w:right w:val="single" w:color="000000" w:sz="8" w:space="0"/>
            </w:tcBorders>
            <w:shd w:val="clear" w:color="auto" w:fill="FFFFFF"/>
            <w:noWrap w:val="0"/>
            <w:vAlign w:val="top"/>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286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商务部分</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240" w:lineRule="auto"/>
              <w:jc w:val="center"/>
              <w:rPr>
                <w:rFonts w:hint="default" w:ascii="宋体" w:hAnsi="宋体" w:eastAsia="宋体" w:cs="宋体"/>
                <w:b/>
                <w:bCs/>
                <w:sz w:val="21"/>
                <w:szCs w:val="21"/>
                <w:lang w:val="en-US" w:eastAsia="zh-CN"/>
              </w:rPr>
            </w:pPr>
            <w:r>
              <w:rPr>
                <w:rFonts w:hint="eastAsia" w:eastAsia="宋体" w:cs="宋体"/>
                <w:b/>
                <w:bCs/>
                <w:sz w:val="21"/>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488"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序号</w:t>
            </w:r>
          </w:p>
        </w:tc>
        <w:tc>
          <w:tcPr>
            <w:tcW w:w="114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评分因素</w:t>
            </w:r>
          </w:p>
        </w:tc>
        <w:tc>
          <w:tcPr>
            <w:tcW w:w="97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权重(%)</w:t>
            </w:r>
          </w:p>
        </w:tc>
        <w:tc>
          <w:tcPr>
            <w:tcW w:w="71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2676"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认证情况</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both"/>
              <w:rPr>
                <w:rFonts w:hint="eastAsia"/>
              </w:rPr>
            </w:pPr>
            <w:r>
              <w:rPr>
                <w:rFonts w:hint="eastAsia"/>
              </w:rPr>
              <w:t>（一）评审内容：</w:t>
            </w:r>
          </w:p>
          <w:p>
            <w:pPr>
              <w:snapToGrid w:val="0"/>
              <w:spacing w:line="240" w:lineRule="auto"/>
              <w:ind w:left="0" w:leftChars="0" w:firstLine="0" w:firstLineChars="0"/>
              <w:jc w:val="both"/>
              <w:rPr>
                <w:rFonts w:hint="eastAsia"/>
              </w:rPr>
            </w:pPr>
            <w:r>
              <w:rPr>
                <w:rFonts w:hint="eastAsia"/>
              </w:rPr>
              <w:t>1、具有质量管理体系认证证书，得20%；</w:t>
            </w:r>
          </w:p>
          <w:p>
            <w:pPr>
              <w:snapToGrid w:val="0"/>
              <w:spacing w:line="240" w:lineRule="auto"/>
              <w:ind w:left="0" w:leftChars="0" w:firstLine="0" w:firstLineChars="0"/>
              <w:jc w:val="both"/>
              <w:rPr>
                <w:rFonts w:hint="eastAsia"/>
              </w:rPr>
            </w:pPr>
            <w:r>
              <w:rPr>
                <w:rFonts w:hint="eastAsia"/>
              </w:rPr>
              <w:t>2、具有环境管理体系认证证书，得20%；</w:t>
            </w:r>
          </w:p>
          <w:p>
            <w:pPr>
              <w:snapToGrid w:val="0"/>
              <w:spacing w:line="240" w:lineRule="auto"/>
              <w:ind w:left="0" w:leftChars="0" w:firstLine="0" w:firstLineChars="0"/>
              <w:jc w:val="both"/>
              <w:rPr>
                <w:rFonts w:hint="eastAsia"/>
              </w:rPr>
            </w:pPr>
            <w:r>
              <w:rPr>
                <w:rFonts w:hint="eastAsia"/>
              </w:rPr>
              <w:t xml:space="preserve">3、具有职业健康安全管理体系认证证书，得20%； </w:t>
            </w:r>
          </w:p>
          <w:p>
            <w:pPr>
              <w:snapToGrid w:val="0"/>
              <w:spacing w:line="240" w:lineRule="auto"/>
              <w:ind w:left="0" w:leftChars="0" w:firstLine="0" w:firstLineChars="0"/>
              <w:jc w:val="both"/>
              <w:rPr>
                <w:rFonts w:hint="eastAsia"/>
              </w:rPr>
            </w:pPr>
            <w:r>
              <w:rPr>
                <w:rFonts w:hint="eastAsia"/>
              </w:rPr>
              <w:t>4、具有知识产权管理体系认证证书，得40%。</w:t>
            </w:r>
          </w:p>
          <w:p>
            <w:pPr>
              <w:snapToGrid w:val="0"/>
              <w:spacing w:line="240" w:lineRule="auto"/>
              <w:ind w:left="0" w:leftChars="0" w:firstLine="0" w:firstLineChars="0"/>
              <w:jc w:val="both"/>
              <w:rPr>
                <w:rFonts w:hint="eastAsia"/>
              </w:rPr>
            </w:pPr>
            <w:r>
              <w:rPr>
                <w:rFonts w:hint="eastAsia"/>
              </w:rPr>
              <w:t>以上1-4项最高得100%。</w:t>
            </w:r>
          </w:p>
          <w:p>
            <w:pPr>
              <w:snapToGrid w:val="0"/>
              <w:spacing w:line="240" w:lineRule="auto"/>
              <w:ind w:left="0" w:leftChars="0" w:firstLine="0" w:firstLineChars="0"/>
              <w:jc w:val="both"/>
              <w:rPr>
                <w:rFonts w:hint="eastAsia"/>
              </w:rPr>
            </w:pPr>
            <w:r>
              <w:rPr>
                <w:rFonts w:hint="eastAsia"/>
              </w:rPr>
              <w:t>（二）评审依据：</w:t>
            </w:r>
          </w:p>
          <w:p>
            <w:pPr>
              <w:snapToGrid w:val="0"/>
              <w:spacing w:line="240" w:lineRule="auto"/>
              <w:ind w:left="0" w:leftChars="0" w:firstLine="0" w:firstLineChars="0"/>
              <w:jc w:val="both"/>
              <w:rPr>
                <w:rFonts w:hint="eastAsia"/>
                <w:lang w:eastAsia="zh-CN"/>
              </w:rPr>
            </w:pPr>
            <w:r>
              <w:rPr>
                <w:rFonts w:hint="eastAsia"/>
                <w:lang w:val="en-US" w:eastAsia="zh-CN"/>
              </w:rPr>
              <w:t>1、</w:t>
            </w:r>
            <w:r>
              <w:rPr>
                <w:rFonts w:hint="eastAsia"/>
              </w:rPr>
              <w:t>提供相关认证机构颁发的有效期内的认证证书扫描件</w:t>
            </w:r>
            <w:r>
              <w:rPr>
                <w:rFonts w:hint="eastAsia"/>
                <w:lang w:eastAsia="zh-CN"/>
              </w:rPr>
              <w:t>；</w:t>
            </w:r>
          </w:p>
          <w:p>
            <w:pPr>
              <w:pStyle w:val="4"/>
              <w:ind w:left="0" w:leftChars="0" w:firstLine="0" w:firstLineChars="0"/>
              <w:rPr>
                <w:rFonts w:hint="default"/>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未按要求提供相关材料或扫描件不清晰导致无法判断内容的不得分，原件备查。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2793"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投标人资质情况</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（一）评审内容：</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1、具有住建主管部门颁发的建筑业企业资质证书（资质类别及等级：消防设施工程专业承包一级）的得40%；</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2、具有住建主管部门颁发的建筑业企业资质证书（资质类别及等级：</w:t>
            </w:r>
            <w:r>
              <w:rPr>
                <w:rFonts w:hint="eastAsia" w:ascii="宋体" w:hAnsi="宋体" w:eastAsia="宋体" w:cs="宋体"/>
                <w:sz w:val="21"/>
                <w:szCs w:val="21"/>
                <w:lang w:val="en-US" w:eastAsia="zh-CN"/>
              </w:rPr>
              <w:t>建筑机电安装工程</w:t>
            </w:r>
            <w:r>
              <w:rPr>
                <w:rFonts w:hint="eastAsia" w:ascii="宋体" w:hAnsi="宋体" w:eastAsia="宋体" w:cs="宋体"/>
                <w:sz w:val="21"/>
                <w:szCs w:val="21"/>
              </w:rPr>
              <w:t>专业承包一级）的得</w:t>
            </w:r>
            <w:r>
              <w:rPr>
                <w:rFonts w:hint="eastAsia" w:ascii="宋体" w:hAnsi="宋体" w:eastAsia="宋体" w:cs="宋体"/>
                <w:sz w:val="21"/>
                <w:szCs w:val="21"/>
                <w:lang w:val="en-US" w:eastAsia="zh-CN"/>
              </w:rPr>
              <w:t>3</w:t>
            </w:r>
            <w:r>
              <w:rPr>
                <w:rFonts w:hint="eastAsia" w:ascii="宋体" w:hAnsi="宋体" w:eastAsia="宋体" w:cs="宋体"/>
                <w:sz w:val="21"/>
                <w:szCs w:val="21"/>
              </w:rPr>
              <w:t>0%；</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w:t>
            </w:r>
            <w:bookmarkStart w:id="3" w:name="_GoBack"/>
            <w:bookmarkEnd w:id="3"/>
            <w:r>
              <w:rPr>
                <w:rFonts w:hint="eastAsia" w:ascii="宋体" w:hAnsi="宋体" w:eastAsia="宋体" w:cs="宋体"/>
                <w:sz w:val="21"/>
                <w:szCs w:val="21"/>
              </w:rPr>
              <w:t>具有消防工程设计资质证书（资质类别及等级：乙级及以上）检验检测机构资质认定证书（CMA证书）的，得</w:t>
            </w:r>
            <w:r>
              <w:rPr>
                <w:rFonts w:hint="eastAsia" w:ascii="宋体" w:hAnsi="宋体" w:eastAsia="宋体" w:cs="宋体"/>
                <w:sz w:val="21"/>
                <w:szCs w:val="21"/>
                <w:lang w:val="en-US" w:eastAsia="zh-CN"/>
              </w:rPr>
              <w:t>3</w:t>
            </w:r>
            <w:r>
              <w:rPr>
                <w:rFonts w:hint="eastAsia" w:ascii="宋体" w:hAnsi="宋体" w:eastAsia="宋体" w:cs="宋体"/>
                <w:sz w:val="21"/>
                <w:szCs w:val="21"/>
              </w:rPr>
              <w:t>0%。</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以上1-3项合计最高得100%。</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（二）评审依据：</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提供有效证书扫描件；未按要求提供相关材料或扫描件不清晰导致无法判断内容的不得分，原件备查。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2651" w:hRule="atLeast"/>
          <w:jc w:val="center"/>
        </w:trPr>
        <w:tc>
          <w:tcPr>
            <w:tcW w:w="785" w:type="dxa"/>
            <w:vMerge w:val="continue"/>
            <w:tcBorders>
              <w:left w:val="single" w:color="000000" w:sz="8" w:space="0"/>
              <w:right w:val="single" w:color="000000" w:sz="8" w:space="0"/>
            </w:tcBorders>
            <w:shd w:val="clear" w:color="auto" w:fill="FFFFFF"/>
            <w:noWrap w:val="0"/>
            <w:vAlign w:val="center"/>
          </w:tcPr>
          <w:p>
            <w:pPr>
              <w:snapToGrid w:val="0"/>
              <w:rPr>
                <w:rFonts w:hint="eastAsia" w:ascii="宋体" w:hAnsi="宋体" w:eastAsia="宋体" w:cs="宋体"/>
                <w:b/>
                <w:bCs/>
                <w:sz w:val="21"/>
                <w:szCs w:val="21"/>
              </w:rPr>
            </w:pPr>
          </w:p>
        </w:tc>
        <w:tc>
          <w:tcPr>
            <w:tcW w:w="7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w:t>
            </w:r>
          </w:p>
        </w:tc>
        <w:tc>
          <w:tcPr>
            <w:tcW w:w="114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投标人经验情况</w:t>
            </w: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718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（一）评审内容：</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投标人自2019年</w:t>
            </w:r>
            <w:r>
              <w:rPr>
                <w:rFonts w:hint="default" w:eastAsia="宋体" w:cs="宋体"/>
                <w:sz w:val="21"/>
                <w:szCs w:val="21"/>
                <w:lang w:eastAsia="zh-CN"/>
              </w:rPr>
              <w:t>8</w:t>
            </w:r>
            <w:r>
              <w:rPr>
                <w:rFonts w:hint="eastAsia" w:ascii="宋体" w:hAnsi="宋体" w:eastAsia="宋体" w:cs="宋体"/>
                <w:sz w:val="21"/>
                <w:szCs w:val="21"/>
              </w:rPr>
              <w:t>月1日以后（以合同签订时间为准）：具有</w:t>
            </w:r>
            <w:r>
              <w:rPr>
                <w:rFonts w:hint="eastAsia" w:ascii="宋体" w:hAnsi="宋体" w:eastAsia="宋体" w:cs="宋体"/>
                <w:sz w:val="21"/>
                <w:szCs w:val="21"/>
                <w:lang w:val="en-US" w:eastAsia="zh-CN"/>
              </w:rPr>
              <w:t>消防整改或改造或工程类</w:t>
            </w:r>
            <w:r>
              <w:rPr>
                <w:rFonts w:hint="eastAsia" w:ascii="宋体" w:hAnsi="宋体" w:eastAsia="宋体" w:cs="宋体"/>
                <w:sz w:val="21"/>
                <w:szCs w:val="21"/>
              </w:rPr>
              <w:t>经验的，每提供一项得2</w:t>
            </w:r>
            <w:r>
              <w:rPr>
                <w:rFonts w:hint="eastAsia" w:ascii="宋体" w:hAnsi="宋体" w:eastAsia="宋体" w:cs="宋体"/>
                <w:sz w:val="21"/>
                <w:szCs w:val="21"/>
                <w:lang w:val="en-US" w:eastAsia="zh-CN"/>
              </w:rPr>
              <w:t>5</w:t>
            </w:r>
            <w:r>
              <w:rPr>
                <w:rFonts w:hint="eastAsia" w:ascii="宋体" w:hAnsi="宋体" w:eastAsia="宋体" w:cs="宋体"/>
                <w:sz w:val="21"/>
                <w:szCs w:val="21"/>
              </w:rPr>
              <w:t>%，最高得100%。</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（二）评审依据：</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1、提供项目合同关键页（包括但不限于：签订合同双方的单位名称页、合同项目名称页、项目金额信息页、签订合同双方的落款盖章页、签订日期页）扫描件。续签合同的不重复计分。</w:t>
            </w:r>
          </w:p>
          <w:p>
            <w:pPr>
              <w:snapToGrid w:val="0"/>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2、未按要求提供相关材料或扫描件不清晰导致无法判断内容的不得分，原件备查。</w:t>
            </w:r>
          </w:p>
        </w:tc>
      </w:tr>
      <w:bookmarkEnd w:id="1"/>
      <w:bookmarkEnd w:id="2"/>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pPr>
      <w:r>
        <w:separator/>
      </w:r>
    </w:p>
  </w:endnote>
  <w:endnote w:type="continuationSeparator" w:id="1">
    <w:p>
      <w:pPr>
        <w:spacing w:line="240" w:lineRule="auto"/>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40"/>
      </w:pPr>
      <w:r>
        <w:separator/>
      </w:r>
    </w:p>
  </w:footnote>
  <w:footnote w:type="continuationSeparator" w:id="1">
    <w:p>
      <w:pPr>
        <w:spacing w:line="240" w:lineRule="auto"/>
        <w:ind w:left="2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478B2"/>
    <w:multiLevelType w:val="singleLevel"/>
    <w:tmpl w:val="161478B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FC76CE"/>
    <w:rsid w:val="4A1947CF"/>
    <w:rsid w:val="4DAFC9E3"/>
    <w:rsid w:val="ABFF7B90"/>
    <w:rsid w:val="D3F94144"/>
    <w:rsid w:val="D7FE7CB5"/>
    <w:rsid w:val="DF614020"/>
    <w:rsid w:val="DFA36C64"/>
    <w:rsid w:val="EEF3E34E"/>
    <w:rsid w:val="F1F6B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left="240" w:leftChars="100"/>
    </w:pPr>
    <w:rPr>
      <w:rFonts w:ascii="宋体" w:hAnsi="宋体" w:eastAsia="宋体" w:cs="宋体"/>
      <w:kern w:val="2"/>
      <w:sz w:val="24"/>
      <w:lang w:val="en-US" w:eastAsia="zh-CN" w:bidi="ar-SA"/>
    </w:rPr>
  </w:style>
  <w:style w:type="paragraph" w:styleId="3">
    <w:name w:val="heading 1"/>
    <w:basedOn w:val="1"/>
    <w:next w:val="1"/>
    <w:qFormat/>
    <w:uiPriority w:val="9"/>
    <w:pPr>
      <w:keepNext/>
      <w:keepLines/>
      <w:spacing w:line="312" w:lineRule="auto"/>
      <w:jc w:val="center"/>
      <w:outlineLvl w:val="0"/>
    </w:pPr>
    <w:rPr>
      <w:rFonts w:hAnsi="Times New Roman" w:cs="Times New Roman"/>
      <w:b/>
      <w:kern w:val="44"/>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adjustRightInd w:val="0"/>
      <w:spacing w:line="312" w:lineRule="atLeast"/>
      <w:ind w:firstLine="420"/>
      <w:textAlignment w:val="baseline"/>
    </w:pPr>
    <w:rPr>
      <w:rFonts w:ascii="Times New Roman" w:hAnsi="Times New Roman" w:cs="Times New Roman"/>
      <w:kern w:val="0"/>
      <w:sz w:val="32"/>
    </w:rPr>
  </w:style>
  <w:style w:type="paragraph" w:styleId="5">
    <w:name w:val="Normal (Web)"/>
    <w:basedOn w:val="1"/>
    <w:qFormat/>
    <w:uiPriority w:val="99"/>
    <w:pPr>
      <w:widowControl/>
      <w:spacing w:before="100" w:beforeAutospacing="1" w:after="100" w:afterAutospacing="1"/>
      <w:jc w:val="left"/>
    </w:pPr>
    <w:rPr>
      <w:rFonts w:cs="Times New Roman"/>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3142</Words>
  <Characters>3279</Characters>
  <Lines>0</Lines>
  <Paragraphs>0</Paragraphs>
  <TotalTime>3</TotalTime>
  <ScaleCrop>false</ScaleCrop>
  <LinksUpToDate>false</LinksUpToDate>
  <CharactersWithSpaces>3315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郑锦婷</cp:lastModifiedBy>
  <dcterms:modified xsi:type="dcterms:W3CDTF">2025-01-24T15:49:29Z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7E1CD8096FF32BEF0946936715A0536D</vt:lpwstr>
  </property>
</Properties>
</file>