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r>
        <w:rPr>
          <w:rFonts w:hint="eastAsia" w:ascii="黑体" w:hAnsi="黑体" w:eastAsia="黑体"/>
          <w:sz w:val="32"/>
          <w:szCs w:val="32"/>
        </w:rPr>
        <w:t>附件</w:t>
      </w:r>
      <w:r>
        <w:rPr>
          <w:rFonts w:hint="default" w:ascii="黑体" w:hAnsi="黑体" w:eastAsia="黑体"/>
          <w:sz w:val="32"/>
          <w:szCs w:val="32"/>
          <w:lang w:eastAsia="zh-CN"/>
        </w:rPr>
        <w:t>1</w:t>
      </w:r>
      <w:r>
        <w:rPr>
          <w:rFonts w:hint="eastAsia" w:ascii="黑体" w:hAnsi="黑体" w:eastAsia="黑体"/>
          <w:sz w:val="32"/>
          <w:szCs w:val="32"/>
        </w:rPr>
        <w:t>：</w:t>
      </w:r>
    </w:p>
    <w:p>
      <w:pPr>
        <w:rPr>
          <w:sz w:val="32"/>
          <w:szCs w:val="32"/>
        </w:rPr>
      </w:pPr>
    </w:p>
    <w:p>
      <w:pPr>
        <w:jc w:val="center"/>
        <w:rPr>
          <w:rFonts w:ascii="宋体" w:hAnsi="宋体"/>
          <w:b/>
          <w:sz w:val="32"/>
          <w:szCs w:val="32"/>
        </w:rPr>
      </w:pPr>
      <w:r>
        <w:rPr>
          <w:rFonts w:hint="eastAsia" w:ascii="宋体" w:hAnsi="宋体"/>
          <w:b/>
          <w:sz w:val="32"/>
          <w:szCs w:val="32"/>
        </w:rPr>
        <w:t>评分</w:t>
      </w:r>
      <w:r>
        <w:rPr>
          <w:rFonts w:hint="eastAsia" w:ascii="宋体" w:hAnsi="宋体"/>
          <w:b/>
          <w:sz w:val="32"/>
          <w:szCs w:val="32"/>
          <w:lang w:eastAsia="zh-CN"/>
        </w:rPr>
        <w:t>细则</w:t>
      </w:r>
    </w:p>
    <w:tbl>
      <w:tblPr>
        <w:tblStyle w:val="2"/>
        <w:tblW w:w="6315" w:type="pct"/>
        <w:tblInd w:w="-85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81"/>
        <w:gridCol w:w="852"/>
        <w:gridCol w:w="1567"/>
        <w:gridCol w:w="705"/>
        <w:gridCol w:w="710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134"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405"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评分因素</w:t>
            </w:r>
          </w:p>
        </w:tc>
        <w:tc>
          <w:tcPr>
            <w:tcW w:w="745"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评价内容</w:t>
            </w:r>
          </w:p>
        </w:tc>
        <w:tc>
          <w:tcPr>
            <w:tcW w:w="335"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分值</w:t>
            </w:r>
          </w:p>
        </w:tc>
        <w:tc>
          <w:tcPr>
            <w:tcW w:w="3379"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评分标准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4" w:hRule="atLeast"/>
        </w:trPr>
        <w:tc>
          <w:tcPr>
            <w:tcW w:w="134"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w:t>
            </w:r>
          </w:p>
        </w:tc>
        <w:tc>
          <w:tcPr>
            <w:tcW w:w="405"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投标报价</w:t>
            </w:r>
          </w:p>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default"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0分）</w:t>
            </w:r>
          </w:p>
        </w:tc>
        <w:tc>
          <w:tcPr>
            <w:tcW w:w="745"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投标报价</w:t>
            </w:r>
          </w:p>
        </w:tc>
        <w:tc>
          <w:tcPr>
            <w:tcW w:w="335"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0</w:t>
            </w:r>
          </w:p>
        </w:tc>
        <w:tc>
          <w:tcPr>
            <w:tcW w:w="3379"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综合评分法中的价格分统一采用低价优先法计算，即满足招标文件要求且投标价格最低的投标报价为评标基准价，其价格分为满分。其他投标人的价格分统一按照下列公式计算：</w:t>
            </w:r>
          </w:p>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投标报价得分=（评标基准价/投标报价）×100×</w:t>
            </w:r>
            <w:r>
              <w:rPr>
                <w:rFonts w:hint="default"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9" w:hRule="atLeast"/>
        </w:trPr>
        <w:tc>
          <w:tcPr>
            <w:tcW w:w="134" w:type="pct"/>
            <w:vMerge w:val="restart"/>
            <w:tcBorders>
              <w:top w:val="outset" w:color="auto" w:sz="6" w:space="0"/>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w:t>
            </w:r>
          </w:p>
          <w:p>
            <w:pPr>
              <w:spacing w:line="0" w:lineRule="atLeast"/>
              <w:jc w:val="center"/>
              <w:rPr>
                <w:rFonts w:hint="eastAsia" w:asciiTheme="minorEastAsia" w:hAnsiTheme="minorEastAsia" w:eastAsiaTheme="minorEastAsia" w:cstheme="minorEastAsia"/>
                <w:sz w:val="21"/>
                <w:szCs w:val="21"/>
              </w:rPr>
            </w:pPr>
          </w:p>
        </w:tc>
        <w:tc>
          <w:tcPr>
            <w:tcW w:w="405" w:type="pct"/>
            <w:vMerge w:val="restart"/>
            <w:tcBorders>
              <w:top w:val="outset" w:color="auto" w:sz="6" w:space="0"/>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w:t>
            </w:r>
          </w:p>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0分）</w:t>
            </w:r>
          </w:p>
          <w:p>
            <w:pPr>
              <w:spacing w:line="0" w:lineRule="atLeast"/>
              <w:jc w:val="center"/>
              <w:rPr>
                <w:rFonts w:hint="eastAsia" w:asciiTheme="minorEastAsia" w:hAnsiTheme="minorEastAsia" w:eastAsiaTheme="minorEastAsia" w:cstheme="minorEastAsia"/>
                <w:sz w:val="21"/>
                <w:szCs w:val="21"/>
              </w:rPr>
            </w:pPr>
          </w:p>
        </w:tc>
        <w:tc>
          <w:tcPr>
            <w:tcW w:w="745" w:type="pct"/>
            <w:tcBorders>
              <w:top w:val="outset" w:color="auto" w:sz="6" w:space="0"/>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实施方案（包括</w:t>
            </w:r>
            <w:r>
              <w:rPr>
                <w:rFonts w:hint="eastAsia" w:asciiTheme="minorEastAsia" w:hAnsiTheme="minorEastAsia" w:eastAsiaTheme="minorEastAsia" w:cstheme="minorEastAsia"/>
                <w:sz w:val="21"/>
                <w:szCs w:val="21"/>
                <w:lang w:val="en-US" w:eastAsia="zh-CN"/>
              </w:rPr>
              <w:t>工作</w:t>
            </w:r>
            <w:r>
              <w:rPr>
                <w:rFonts w:hint="eastAsia" w:asciiTheme="minorEastAsia" w:hAnsiTheme="minorEastAsia" w:eastAsiaTheme="minorEastAsia" w:cstheme="minorEastAsia"/>
                <w:sz w:val="21"/>
                <w:szCs w:val="21"/>
              </w:rPr>
              <w:t>措施、工作方法、工作手段、时间安排等）</w:t>
            </w:r>
          </w:p>
          <w:p>
            <w:pPr>
              <w:spacing w:line="0" w:lineRule="atLeast"/>
              <w:jc w:val="center"/>
              <w:rPr>
                <w:rFonts w:hint="eastAsia" w:asciiTheme="minorEastAsia" w:hAnsiTheme="minorEastAsia" w:eastAsiaTheme="minorEastAsia" w:cstheme="minorEastAsia"/>
                <w:sz w:val="21"/>
                <w:szCs w:val="21"/>
              </w:rPr>
            </w:pPr>
          </w:p>
        </w:tc>
        <w:tc>
          <w:tcPr>
            <w:tcW w:w="335" w:type="pct"/>
            <w:tcBorders>
              <w:top w:val="outset" w:color="auto" w:sz="6" w:space="0"/>
              <w:left w:val="outset" w:color="auto" w:sz="6" w:space="0"/>
              <w:bottom w:val="single" w:color="auto" w:sz="4" w:space="0"/>
              <w:right w:val="outset" w:color="auto" w:sz="6" w:space="0"/>
            </w:tcBorders>
            <w:noWrap w:val="0"/>
            <w:vAlign w:val="center"/>
          </w:tcPr>
          <w:p>
            <w:pPr>
              <w:spacing w:line="0" w:lineRule="atLeas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3379" w:type="pct"/>
            <w:tcBorders>
              <w:top w:val="outset" w:color="auto" w:sz="6" w:space="0"/>
              <w:left w:val="outset" w:color="auto" w:sz="6" w:space="0"/>
              <w:bottom w:val="single" w:color="auto" w:sz="4" w:space="0"/>
              <w:right w:val="outset" w:color="auto" w:sz="6" w:space="0"/>
            </w:tcBorders>
            <w:noWrap w:val="0"/>
            <w:vAlign w:val="center"/>
          </w:tcPr>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根据本项目概况，提出项目实施方案：主要包括但不限于（1）对工作安排等与项目要求的匹配程度（2）工作方法的适用度（3）工作流程的有序性进行评审等三项，逐项计分，每项最高5分：</w:t>
            </w:r>
          </w:p>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1.实施方案全面具体、科学合理、操作性强，完全符合项目需求，评价为优，得5分；</w:t>
            </w:r>
          </w:p>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2.实施方案较全面，但有一项不够具体，且科学合理性较强、操作性较强，基本符合项目需求，评价为良，得3分；</w:t>
            </w:r>
          </w:p>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3.实施方案有具体内容，但一项以上不够具体，且科学合理性一般、操作性不强，勉强符合项目需求，评价为中，得2分；</w:t>
            </w:r>
          </w:p>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4.实施方案不够全面或至少有一项缺乏具体方案、合理性有明显缺陷，操作性差，不符合项目需求，评价为差，得1分。</w:t>
            </w:r>
          </w:p>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5.未响应不得分。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90" w:hRule="atLeast"/>
        </w:trPr>
        <w:tc>
          <w:tcPr>
            <w:tcW w:w="134" w:type="pct"/>
            <w:vMerge w:val="continue"/>
            <w:tcBorders>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405" w:type="pct"/>
            <w:vMerge w:val="continue"/>
            <w:tcBorders>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745" w:type="pct"/>
            <w:tcBorders>
              <w:top w:val="single" w:color="auto" w:sz="4" w:space="0"/>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项目重点难点分析、应对措施及相关合理化建议</w:t>
            </w:r>
          </w:p>
        </w:tc>
        <w:tc>
          <w:tcPr>
            <w:tcW w:w="335"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3379"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根据本项目招标文件的用户需求，制定符合本项目特点的项目重点难点分析、应对措施及相关的合理化建议，内容包括：（1）项目重难点分析；（</w:t>
            </w:r>
            <w:r>
              <w:rPr>
                <w:rFonts w:hint="default"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sz w:val="21"/>
                <w:szCs w:val="21"/>
                <w:lang w:val="en-US" w:eastAsia="zh-CN"/>
              </w:rPr>
              <w:t>）解决方案科学可行性；（</w:t>
            </w:r>
            <w:r>
              <w:rPr>
                <w:rFonts w:hint="default" w:asciiTheme="minorEastAsia" w:hAnsiTheme="minorEastAsia" w:eastAsiaTheme="minorEastAsia" w:cstheme="minorEastAsia"/>
                <w:sz w:val="21"/>
                <w:szCs w:val="21"/>
                <w:lang w:eastAsia="zh-CN"/>
              </w:rPr>
              <w:t>3</w:t>
            </w:r>
            <w:r>
              <w:rPr>
                <w:rFonts w:hint="eastAsia" w:asciiTheme="minorEastAsia" w:hAnsiTheme="minorEastAsia" w:eastAsiaTheme="minorEastAsia" w:cstheme="minorEastAsia"/>
                <w:sz w:val="21"/>
                <w:szCs w:val="21"/>
                <w:lang w:val="en-US" w:eastAsia="zh-CN"/>
              </w:rPr>
              <w:t>）是否提出创新性建设性意见。综合考量对投标文件的响应情况，分档评分。评分依据：</w:t>
            </w:r>
          </w:p>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default"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项目重难点分析准确，解决方案可行性高，并能提出创新性建设性意见，对投标文件响应度高，评价为优，得15分；</w:t>
            </w:r>
          </w:p>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default"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项目重难点分析较为准确，解决方案可行，对投标文件响应度较高，但未能提出创新性建设性意见，评价为良，得10分；</w:t>
            </w:r>
          </w:p>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default"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项目重难点分析一般，解决方案勉强可行，对投标文件响应度一般，评价为中，得5分；</w:t>
            </w:r>
          </w:p>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default"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项目重难点分析较差，解决方案不可行，对投标文件响应度差，以上情形符合一项皆评价为差，得0分。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90" w:hRule="atLeast"/>
        </w:trPr>
        <w:tc>
          <w:tcPr>
            <w:tcW w:w="134" w:type="pct"/>
            <w:vMerge w:val="continue"/>
            <w:tcBorders>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405" w:type="pct"/>
            <w:vMerge w:val="continue"/>
            <w:tcBorders>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745" w:type="pct"/>
            <w:tcBorders>
              <w:top w:val="single" w:color="auto" w:sz="4" w:space="0"/>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团队能力</w:t>
            </w:r>
          </w:p>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（项目负责人等所有团队成员必须是实际经办律师，不得为挂名律师）</w:t>
            </w:r>
          </w:p>
        </w:tc>
        <w:tc>
          <w:tcPr>
            <w:tcW w:w="335"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3379"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针对本项目的项目负责人、团队人员组成及能力。综合考虑团队注册律师人数、从业年限、承接行政案件数、胜诉率等因素，分档评分：评价为优得10分；良得7分；评价中得4分；评价为差得0分。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3" w:hRule="atLeast"/>
        </w:trPr>
        <w:tc>
          <w:tcPr>
            <w:tcW w:w="134" w:type="pct"/>
            <w:vMerge w:val="continue"/>
            <w:tcBorders>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405" w:type="pct"/>
            <w:vMerge w:val="continue"/>
            <w:tcBorders>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745" w:type="pct"/>
            <w:tcBorders>
              <w:top w:val="single" w:color="auto" w:sz="4" w:space="0"/>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服务承诺</w:t>
            </w:r>
          </w:p>
        </w:tc>
        <w:tc>
          <w:tcPr>
            <w:tcW w:w="335"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3379"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根据投标文件响应情况进行分档评分：评价为优得10分；良得7分；评价中得4分；评价为差得0分。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9" w:hRule="atLeast"/>
        </w:trPr>
        <w:tc>
          <w:tcPr>
            <w:tcW w:w="134" w:type="pct"/>
            <w:vMerge w:val="restart"/>
            <w:tcBorders>
              <w:top w:val="single" w:color="auto" w:sz="4" w:space="0"/>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w:t>
            </w:r>
          </w:p>
        </w:tc>
        <w:tc>
          <w:tcPr>
            <w:tcW w:w="405" w:type="pct"/>
            <w:vMerge w:val="restart"/>
            <w:tcBorders>
              <w:top w:val="single" w:color="auto" w:sz="4" w:space="0"/>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w:t>
            </w:r>
          </w:p>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default" w:asciiTheme="minorEastAsia" w:hAnsiTheme="minorEastAsia" w:eastAsiaTheme="minorEastAsia" w:cstheme="minorEastAsia"/>
                <w:sz w:val="21"/>
                <w:szCs w:val="21"/>
                <w:lang w:val="en-US"/>
              </w:rPr>
              <w:t>3</w:t>
            </w:r>
            <w:r>
              <w:rPr>
                <w:rFonts w:hint="eastAsia" w:asciiTheme="minorEastAsia" w:hAnsiTheme="minorEastAsia" w:eastAsiaTheme="minorEastAsia" w:cstheme="minorEastAsia"/>
                <w:sz w:val="21"/>
                <w:szCs w:val="21"/>
              </w:rPr>
              <w:t>0分）</w:t>
            </w:r>
          </w:p>
        </w:tc>
        <w:tc>
          <w:tcPr>
            <w:tcW w:w="745" w:type="pct"/>
            <w:tcBorders>
              <w:top w:val="single" w:color="auto" w:sz="4"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注册律师数量</w:t>
            </w:r>
          </w:p>
        </w:tc>
        <w:tc>
          <w:tcPr>
            <w:tcW w:w="335"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sz w:val="21"/>
                <w:szCs w:val="21"/>
                <w:lang w:val="en-US"/>
              </w:rPr>
              <w:t>5</w:t>
            </w:r>
          </w:p>
        </w:tc>
        <w:tc>
          <w:tcPr>
            <w:tcW w:w="3379"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注册律师人数，每人0.2分，最高不超过</w:t>
            </w:r>
            <w:r>
              <w:rPr>
                <w:rFonts w:hint="default"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分。</w:t>
            </w:r>
          </w:p>
          <w:p>
            <w:pPr>
              <w:spacing w:line="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投标人须提供注册律师清单及每个人律师执业证复印件并加盖公章。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5" w:hRule="atLeast"/>
        </w:trPr>
        <w:tc>
          <w:tcPr>
            <w:tcW w:w="134" w:type="pct"/>
            <w:vMerge w:val="continue"/>
            <w:tcBorders>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405" w:type="pct"/>
            <w:vMerge w:val="continue"/>
            <w:tcBorders>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745" w:type="pct"/>
            <w:tcBorders>
              <w:top w:val="outset" w:color="auto" w:sz="6" w:space="0"/>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w:t>
            </w:r>
            <w:r>
              <w:rPr>
                <w:rFonts w:hint="eastAsia" w:asciiTheme="minorEastAsia" w:hAnsiTheme="minorEastAsia" w:eastAsiaTheme="minorEastAsia" w:cstheme="minorEastAsia"/>
                <w:sz w:val="21"/>
                <w:szCs w:val="21"/>
                <w:lang w:eastAsia="zh-CN"/>
              </w:rPr>
              <w:t>产权</w:t>
            </w:r>
            <w:r>
              <w:rPr>
                <w:rFonts w:hint="eastAsia" w:asciiTheme="minorEastAsia" w:hAnsiTheme="minorEastAsia" w:eastAsiaTheme="minorEastAsia" w:cstheme="minorEastAsia"/>
                <w:sz w:val="21"/>
                <w:szCs w:val="21"/>
              </w:rPr>
              <w:t>案件的数量</w:t>
            </w:r>
          </w:p>
        </w:tc>
        <w:tc>
          <w:tcPr>
            <w:tcW w:w="335" w:type="pct"/>
            <w:tcBorders>
              <w:top w:val="outset" w:color="auto" w:sz="6" w:space="0"/>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default" w:asciiTheme="minorEastAsia" w:hAnsiTheme="minorEastAsia" w:eastAsiaTheme="minorEastAsia" w:cstheme="minorEastAsia"/>
                <w:sz w:val="21"/>
                <w:szCs w:val="21"/>
                <w:lang w:val="en-US"/>
              </w:rPr>
              <w:t>0</w:t>
            </w:r>
          </w:p>
        </w:tc>
        <w:tc>
          <w:tcPr>
            <w:tcW w:w="3379" w:type="pct"/>
            <w:tcBorders>
              <w:top w:val="outset" w:color="auto" w:sz="6" w:space="0"/>
              <w:left w:val="outset" w:color="auto" w:sz="6" w:space="0"/>
              <w:bottom w:val="single" w:color="auto" w:sz="4" w:space="0"/>
              <w:right w:val="outset" w:color="auto" w:sz="6" w:space="0"/>
            </w:tcBorders>
            <w:noWrap w:val="0"/>
            <w:vAlign w:val="center"/>
          </w:tcPr>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近三年投标人承接产权案件数量，每提供一个得0.5分，最高不超过1</w:t>
            </w:r>
            <w:r>
              <w:rPr>
                <w:rFonts w:hint="default"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lang w:val="en-US" w:eastAsia="zh-CN"/>
              </w:rPr>
              <w:t>分。</w:t>
            </w:r>
          </w:p>
          <w:p>
            <w:pPr>
              <w:spacing w:line="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投标人须提供行政诉讼代理委托协议关键页的加盖公章复印件，原件备查。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9" w:hRule="atLeast"/>
        </w:trPr>
        <w:tc>
          <w:tcPr>
            <w:tcW w:w="134" w:type="pct"/>
            <w:vMerge w:val="continue"/>
            <w:tcBorders>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405" w:type="pct"/>
            <w:vMerge w:val="continue"/>
            <w:tcBorders>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745" w:type="pct"/>
            <w:tcBorders>
              <w:top w:val="single" w:color="auto" w:sz="4" w:space="0"/>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同类项目业绩</w:t>
            </w:r>
          </w:p>
        </w:tc>
        <w:tc>
          <w:tcPr>
            <w:tcW w:w="335" w:type="pct"/>
            <w:tcBorders>
              <w:top w:val="single" w:color="auto" w:sz="4" w:space="0"/>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default" w:asciiTheme="minorEastAsia" w:hAnsiTheme="minorEastAsia" w:eastAsiaTheme="minorEastAsia" w:cstheme="minorEastAsia"/>
                <w:sz w:val="21"/>
                <w:szCs w:val="21"/>
                <w:lang w:val="en-US"/>
              </w:rPr>
              <w:t>0</w:t>
            </w:r>
          </w:p>
        </w:tc>
        <w:tc>
          <w:tcPr>
            <w:tcW w:w="3379" w:type="pct"/>
            <w:tcBorders>
              <w:top w:val="single" w:color="auto" w:sz="4" w:space="0"/>
              <w:left w:val="outset" w:color="auto" w:sz="6" w:space="0"/>
              <w:bottom w:val="single" w:color="auto" w:sz="4" w:space="0"/>
              <w:right w:val="outset" w:color="auto" w:sz="6" w:space="0"/>
            </w:tcBorders>
            <w:noWrap w:val="0"/>
            <w:vAlign w:val="center"/>
          </w:tcPr>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近三年投标人曾经承担过的机关事业单位法律服务项目，每承担一个项目或每服务一年得2分，最高不超过1</w:t>
            </w:r>
            <w:r>
              <w:rPr>
                <w:rFonts w:hint="default"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lang w:val="en-US" w:eastAsia="zh-CN"/>
              </w:rPr>
              <w:t>分。</w:t>
            </w:r>
          </w:p>
          <w:p>
            <w:pPr>
              <w:spacing w:line="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投标人须提供中标通知书或合同关键页的加盖公章复印件，原件备查。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5" w:hRule="atLeast"/>
        </w:trPr>
        <w:tc>
          <w:tcPr>
            <w:tcW w:w="134" w:type="pct"/>
            <w:vMerge w:val="continue"/>
            <w:tcBorders>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405" w:type="pct"/>
            <w:vMerge w:val="continue"/>
            <w:tcBorders>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745" w:type="pct"/>
            <w:tcBorders>
              <w:top w:val="single" w:color="auto" w:sz="4" w:space="0"/>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诚信情况</w:t>
            </w:r>
          </w:p>
        </w:tc>
        <w:tc>
          <w:tcPr>
            <w:tcW w:w="335" w:type="pct"/>
            <w:tcBorders>
              <w:top w:val="single" w:color="auto" w:sz="4" w:space="0"/>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p>
        </w:tc>
        <w:tc>
          <w:tcPr>
            <w:tcW w:w="3379" w:type="pct"/>
            <w:tcBorders>
              <w:top w:val="single" w:color="auto" w:sz="4" w:space="0"/>
              <w:left w:val="outset" w:color="auto" w:sz="6" w:space="0"/>
              <w:bottom w:val="single" w:color="auto" w:sz="4" w:space="0"/>
              <w:right w:val="outset" w:color="auto" w:sz="6" w:space="0"/>
            </w:tcBorders>
            <w:noWrap w:val="0"/>
            <w:vAlign w:val="center"/>
          </w:tcPr>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按照深财购﹝2013﹞27号文通知要求，存在通知中第一条规定情形但超出法定追诉时效，或情节轻微未给予禁止参与政府采购的行政处罚的，得0分；不存在上述情形的，且出具诚信声明函，本项得5分。投标人提供虚假资料被查实的，则可能面临被列入不良行为记录名单和禁止参与深圳市政府采购活动的风险。</w:t>
            </w:r>
          </w:p>
        </w:tc>
      </w:tr>
    </w:tbl>
    <w:p>
      <w:pPr>
        <w:spacing w:line="0" w:lineRule="atLeast"/>
        <w:jc w:val="center"/>
        <w:rPr>
          <w:rFonts w:hint="eastAsia" w:asciiTheme="minorEastAsia" w:hAnsiTheme="minorEastAsia" w:eastAsiaTheme="minorEastAsia" w:cstheme="minorEastAsia"/>
          <w:sz w:val="21"/>
          <w:szCs w:val="21"/>
        </w:rPr>
      </w:pPr>
    </w:p>
    <w:p>
      <w:pPr>
        <w:spacing w:line="0" w:lineRule="atLeast"/>
        <w:jc w:val="center"/>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9D19F"/>
    <w:rsid w:val="1FFA4BBE"/>
    <w:rsid w:val="27A9214F"/>
    <w:rsid w:val="2B764D51"/>
    <w:rsid w:val="3CD97612"/>
    <w:rsid w:val="3FEF3493"/>
    <w:rsid w:val="40C97224"/>
    <w:rsid w:val="438C5E85"/>
    <w:rsid w:val="47A43204"/>
    <w:rsid w:val="4A3B1D64"/>
    <w:rsid w:val="4F0B17DB"/>
    <w:rsid w:val="53B07871"/>
    <w:rsid w:val="6B7B4F23"/>
    <w:rsid w:val="6E5DA60B"/>
    <w:rsid w:val="74D7C51C"/>
    <w:rsid w:val="77832569"/>
    <w:rsid w:val="7DA74587"/>
    <w:rsid w:val="B3FB945F"/>
    <w:rsid w:val="E9A42074"/>
    <w:rsid w:val="F7AD1359"/>
    <w:rsid w:val="F93917F2"/>
    <w:rsid w:val="FEF79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2024-01-22T00:43:00Z</dcterms:created>
  <dc:creator>Administrator</dc:creator>
  <cp:lastModifiedBy>郑锦婷</cp:lastModifiedBy>
  <dcterms:modified xsi:type="dcterms:W3CDTF">2024-06-27T10:24:16Z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424AFF60402BDC7950CD7C6695DFA163</vt:lpwstr>
  </property>
</Properties>
</file>