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sz w:val="44"/>
          <w:lang w:eastAsia="zh-CN"/>
        </w:rPr>
      </w:pPr>
      <w:bookmarkStart w:id="0" w:name="_GoBack"/>
      <w:bookmarkEnd w:id="0"/>
      <w:r>
        <w:rPr>
          <w:rFonts w:hint="eastAsia" w:ascii="黑体" w:hAnsi="黑体" w:eastAsia="黑体" w:cs="黑体"/>
          <w:b/>
          <w:sz w:val="30"/>
          <w:szCs w:val="30"/>
          <w:lang w:val="en-US" w:eastAsia="zh-CN"/>
        </w:rPr>
        <w:t>附件</w:t>
      </w:r>
      <w:r>
        <w:rPr>
          <w:rFonts w:hint="default" w:ascii="黑体" w:hAnsi="黑体" w:eastAsia="黑体" w:cs="黑体"/>
          <w:b/>
          <w:sz w:val="30"/>
          <w:szCs w:val="30"/>
          <w:lang w:eastAsia="zh-CN"/>
        </w:rPr>
        <w:t>2</w:t>
      </w:r>
      <w:r>
        <w:rPr>
          <w:rFonts w:hint="eastAsia" w:ascii="黑体" w:hAnsi="黑体" w:eastAsia="黑体" w:cs="黑体"/>
          <w:b/>
          <w:sz w:val="30"/>
          <w:szCs w:val="30"/>
          <w:lang w:val="en-US" w:eastAsia="zh-CN"/>
        </w:rPr>
        <w:t>：</w:t>
      </w:r>
      <w:r>
        <w:rPr>
          <w:rFonts w:hint="eastAsia"/>
          <w:b/>
          <w:sz w:val="44"/>
          <w:lang w:val="en-US" w:eastAsia="zh-CN"/>
        </w:rPr>
        <w:t xml:space="preserve">         </w:t>
      </w:r>
      <w:r>
        <w:rPr>
          <w:rFonts w:hint="eastAsia"/>
          <w:b/>
          <w:sz w:val="44"/>
        </w:rPr>
        <w:t>评分</w:t>
      </w:r>
      <w:r>
        <w:rPr>
          <w:rFonts w:hint="eastAsia"/>
          <w:b/>
          <w:sz w:val="44"/>
          <w:lang w:val="en-US" w:eastAsia="zh-CN"/>
        </w:rPr>
        <w:t>标准</w:t>
      </w:r>
    </w:p>
    <w:tbl>
      <w:tblPr>
        <w:tblStyle w:val="8"/>
        <w:tblpPr w:leftFromText="180" w:rightFromText="180" w:vertAnchor="page" w:horzAnchor="margin" w:tblpX="-365" w:tblpY="2431"/>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570"/>
        <w:gridCol w:w="1194"/>
        <w:gridCol w:w="800"/>
        <w:gridCol w:w="5000"/>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jc w:val="center"/>
              <w:rPr>
                <w:b/>
                <w:bCs/>
              </w:rPr>
            </w:pPr>
            <w:r>
              <w:rPr>
                <w:rFonts w:hint="eastAsia"/>
                <w:b/>
                <w:bCs/>
              </w:rPr>
              <w:t>评分</w:t>
            </w:r>
          </w:p>
          <w:p>
            <w:pPr>
              <w:jc w:val="center"/>
              <w:rPr>
                <w:b/>
                <w:bCs/>
              </w:rPr>
            </w:pPr>
            <w:r>
              <w:rPr>
                <w:b/>
                <w:bCs/>
              </w:rPr>
              <w:t>项目</w:t>
            </w:r>
          </w:p>
        </w:tc>
        <w:tc>
          <w:tcPr>
            <w:tcW w:w="570" w:type="dxa"/>
            <w:vAlign w:val="center"/>
          </w:tcPr>
          <w:p>
            <w:pPr>
              <w:jc w:val="center"/>
              <w:rPr>
                <w:b/>
                <w:bCs/>
              </w:rPr>
            </w:pPr>
            <w:r>
              <w:rPr>
                <w:rFonts w:hint="eastAsia"/>
                <w:b/>
                <w:bCs/>
              </w:rPr>
              <w:t>满分</w:t>
            </w:r>
          </w:p>
        </w:tc>
        <w:tc>
          <w:tcPr>
            <w:tcW w:w="1194" w:type="dxa"/>
            <w:vAlign w:val="center"/>
          </w:tcPr>
          <w:p>
            <w:pPr>
              <w:jc w:val="center"/>
              <w:rPr>
                <w:b/>
                <w:bCs/>
              </w:rPr>
            </w:pPr>
            <w:r>
              <w:rPr>
                <w:rFonts w:hint="eastAsia"/>
                <w:b/>
                <w:bCs/>
              </w:rPr>
              <w:t>评分</w:t>
            </w:r>
            <w:r>
              <w:rPr>
                <w:b/>
                <w:bCs/>
              </w:rPr>
              <w:t>项目</w:t>
            </w:r>
          </w:p>
        </w:tc>
        <w:tc>
          <w:tcPr>
            <w:tcW w:w="800" w:type="dxa"/>
            <w:vAlign w:val="center"/>
          </w:tcPr>
          <w:p>
            <w:pPr>
              <w:jc w:val="center"/>
              <w:rPr>
                <w:b/>
                <w:bCs/>
              </w:rPr>
            </w:pPr>
            <w:r>
              <w:rPr>
                <w:rFonts w:hint="eastAsia"/>
                <w:b/>
                <w:bCs/>
              </w:rPr>
              <w:t>分值</w:t>
            </w:r>
          </w:p>
        </w:tc>
        <w:tc>
          <w:tcPr>
            <w:tcW w:w="5000" w:type="dxa"/>
            <w:vAlign w:val="center"/>
          </w:tcPr>
          <w:p>
            <w:pPr>
              <w:jc w:val="center"/>
              <w:rPr>
                <w:b/>
                <w:bCs/>
              </w:rPr>
            </w:pPr>
            <w:r>
              <w:rPr>
                <w:rFonts w:hint="eastAsia"/>
                <w:b/>
                <w:bCs/>
              </w:rPr>
              <w:t>评分</w:t>
            </w:r>
            <w:r>
              <w:rPr>
                <w:b/>
                <w:bCs/>
              </w:rPr>
              <w:t>办法</w:t>
            </w:r>
          </w:p>
        </w:tc>
        <w:tc>
          <w:tcPr>
            <w:tcW w:w="686" w:type="dxa"/>
            <w:vAlign w:val="center"/>
          </w:tcPr>
          <w:p>
            <w:pPr>
              <w:jc w:val="center"/>
              <w:rPr>
                <w:b/>
                <w:bCs/>
              </w:rPr>
            </w:pPr>
            <w:r>
              <w:rPr>
                <w:rFonts w:hint="eastAsia"/>
                <w:b/>
                <w:bCs/>
              </w:rPr>
              <w:t>评分打分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05" w:type="dxa"/>
            <w:vAlign w:val="center"/>
          </w:tcPr>
          <w:p>
            <w:pPr>
              <w:jc w:val="center"/>
              <w:rPr>
                <w:rFonts w:ascii="仿宋" w:hAnsi="仿宋" w:eastAsia="仿宋" w:cs="仿宋"/>
                <w:sz w:val="24"/>
                <w:szCs w:val="24"/>
              </w:rPr>
            </w:pPr>
            <w:r>
              <w:rPr>
                <w:rFonts w:hint="eastAsia" w:ascii="仿宋" w:hAnsi="仿宋" w:eastAsia="仿宋" w:cs="仿宋"/>
                <w:sz w:val="24"/>
                <w:szCs w:val="24"/>
              </w:rPr>
              <w:t>价格标</w:t>
            </w:r>
          </w:p>
        </w:tc>
        <w:tc>
          <w:tcPr>
            <w:tcW w:w="57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194" w:type="dxa"/>
            <w:vAlign w:val="center"/>
          </w:tcPr>
          <w:p>
            <w:pPr>
              <w:jc w:val="center"/>
              <w:rPr>
                <w:rFonts w:ascii="仿宋" w:hAnsi="仿宋" w:eastAsia="仿宋" w:cs="仿宋"/>
                <w:sz w:val="24"/>
                <w:szCs w:val="24"/>
              </w:rPr>
            </w:pPr>
            <w:r>
              <w:rPr>
                <w:rFonts w:hint="eastAsia" w:ascii="仿宋" w:hAnsi="仿宋" w:eastAsia="仿宋" w:cs="仿宋"/>
                <w:color w:val="auto"/>
                <w:sz w:val="24"/>
                <w:szCs w:val="24"/>
              </w:rPr>
              <w:t>投标报价</w:t>
            </w:r>
          </w:p>
        </w:tc>
        <w:tc>
          <w:tcPr>
            <w:tcW w:w="80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000" w:type="dxa"/>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rPr>
              <w:t>价格分应当采用低价优先法计算，即满足招标文件要求且投标价格最低的投标报价为评标基准价，其价格分为满分。其他投标人的价格分统一按照下列公式计算:投标报价得分=(评标基准价/投标报价)x100x</w:t>
            </w:r>
            <w:r>
              <w:rPr>
                <w:rFonts w:hint="eastAsia" w:ascii="仿宋" w:hAnsi="仿宋" w:eastAsia="仿宋" w:cs="仿宋"/>
                <w:sz w:val="24"/>
                <w:szCs w:val="24"/>
                <w:lang w:val="en-US" w:eastAsia="zh-CN"/>
              </w:rPr>
              <w:t>20</w:t>
            </w:r>
          </w:p>
          <w:p>
            <w:pPr>
              <w:jc w:val="left"/>
              <w:rPr>
                <w:rFonts w:ascii="仿宋" w:hAnsi="仿宋" w:eastAsia="仿宋" w:cs="仿宋"/>
                <w:sz w:val="24"/>
                <w:szCs w:val="24"/>
              </w:rPr>
            </w:pPr>
            <w:r>
              <w:rPr>
                <w:rFonts w:hint="eastAsia" w:ascii="仿宋" w:hAnsi="仿宋" w:eastAsia="仿宋" w:cs="仿宋"/>
                <w:sz w:val="24"/>
                <w:szCs w:val="24"/>
              </w:rPr>
              <w:t>备注:投标报价得分四舍五入后，小数点后保留两位有效数。</w:t>
            </w:r>
          </w:p>
        </w:tc>
        <w:tc>
          <w:tcPr>
            <w:tcW w:w="686"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005"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商务标</w:t>
            </w:r>
          </w:p>
        </w:tc>
        <w:tc>
          <w:tcPr>
            <w:tcW w:w="570"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35</w:t>
            </w:r>
          </w:p>
        </w:tc>
        <w:tc>
          <w:tcPr>
            <w:tcW w:w="119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项目团队安排</w:t>
            </w:r>
          </w:p>
        </w:tc>
        <w:tc>
          <w:tcPr>
            <w:tcW w:w="80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500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投标人拟安排承担本项目的人员职业资格、学历以及相关项目经验与岗位责任是否相适应。</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（一）评分内容:</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拟安排的项目团队成员需为供应商正式聘任员工，否则本项不得分。在此基础上，按以下标准评分：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（1）团队成员同时具有全日制本科或以上学历和中级或以上职称的，每提供1人得1分，最高得4分；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（2）团队成员具有高级职称的，每提供1人得1分，最高得</w:t>
            </w:r>
            <w:r>
              <w:rPr>
                <w:rFonts w:hint="default" w:ascii="仿宋" w:hAnsi="仿宋" w:eastAsia="仿宋" w:cs="仿宋"/>
                <w:sz w:val="24"/>
                <w:szCs w:val="24"/>
                <w:lang w:eastAsia="zh-CN"/>
              </w:rPr>
              <w:t>3</w:t>
            </w:r>
            <w:r>
              <w:rPr>
                <w:rFonts w:hint="eastAsia" w:ascii="仿宋" w:hAnsi="仿宋" w:eastAsia="仿宋" w:cs="仿宋"/>
                <w:sz w:val="24"/>
                <w:szCs w:val="24"/>
                <w:lang w:val="en-US" w:eastAsia="zh-CN"/>
              </w:rPr>
              <w:t>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（3）团队成员具有10年或以上从业经验的，每提供1人得1分，最高得3分；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（二）评分依据：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提供项目团队成员通过供应商缴纳的载有社保部门公章的近三个月内任意一个月的个人社保证明，如供应商为新成立单位且成立时间不足一个月的，可提供加盖公章的情况说明或者证明材料亦视为符合。如为退休返聘人员则提供劳动合同或返聘协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2.上述评分内容第（1）（2）项需提供该人员相对应的证书和毕业证书以及学信网查询记录（对于毕业时间为2000年之前，学信网无法查询的，可做说明）作为得分依据；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3.上述评分内容第（3）项涉及考察人员工作年限经验的，要求提供该人员在供应商的载有社保部门公章的社会保险缴纳证明（需体现该人员在供应商单位缴纳社保具有10年或以上）作为得分依据；</w:t>
            </w:r>
          </w:p>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4.提供以上证明文件复印件或扫描件，如涉及网站截图或照片等证明材料，需提供清晰图片，均要求加盖供应商公章，原件备查。未按要求提供有效证明材料或提供不清晰导致评委无法识别的不计得分。</w:t>
            </w:r>
          </w:p>
        </w:tc>
        <w:tc>
          <w:tcPr>
            <w:tcW w:w="686"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005" w:type="dxa"/>
            <w:vMerge w:val="continue"/>
            <w:vAlign w:val="center"/>
          </w:tcPr>
          <w:p>
            <w:pPr>
              <w:jc w:val="center"/>
              <w:rPr>
                <w:rFonts w:ascii="仿宋" w:hAnsi="仿宋" w:eastAsia="仿宋" w:cs="仿宋"/>
                <w:sz w:val="24"/>
                <w:szCs w:val="24"/>
              </w:rPr>
            </w:pPr>
          </w:p>
        </w:tc>
        <w:tc>
          <w:tcPr>
            <w:tcW w:w="570" w:type="dxa"/>
            <w:vMerge w:val="continue"/>
            <w:vAlign w:val="center"/>
          </w:tcPr>
          <w:p>
            <w:pPr>
              <w:jc w:val="center"/>
              <w:rPr>
                <w:rFonts w:ascii="仿宋" w:hAnsi="仿宋" w:eastAsia="仿宋" w:cs="仿宋"/>
                <w:sz w:val="24"/>
                <w:szCs w:val="24"/>
              </w:rPr>
            </w:pPr>
          </w:p>
        </w:tc>
        <w:tc>
          <w:tcPr>
            <w:tcW w:w="119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同类项目经验</w:t>
            </w:r>
          </w:p>
        </w:tc>
        <w:tc>
          <w:tcPr>
            <w:tcW w:w="80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500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（一）评分内容：</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近一年（2023年5月1日至投标截止日）有为不同采购单位提供过同类项目运作或相近业绩，每提供一项得3分，最高得15分。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（二）评分依据：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1.提供合同关键页信息扫描件，通过合同关键信息无法判断是否得分的，还须同时提供能证明得分的其它证明资料，如项目实施招标计划、公告或合同采购方出具的证明文件等；</w:t>
            </w:r>
          </w:p>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2.未按要求提供有效证明得0分。</w:t>
            </w:r>
          </w:p>
        </w:tc>
        <w:tc>
          <w:tcPr>
            <w:tcW w:w="686" w:type="dxa"/>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005" w:type="dxa"/>
            <w:vMerge w:val="continue"/>
            <w:vAlign w:val="center"/>
          </w:tcPr>
          <w:p>
            <w:pPr>
              <w:jc w:val="center"/>
              <w:rPr>
                <w:rFonts w:ascii="仿宋" w:hAnsi="仿宋" w:eastAsia="仿宋" w:cs="仿宋"/>
                <w:sz w:val="24"/>
                <w:szCs w:val="24"/>
              </w:rPr>
            </w:pPr>
          </w:p>
        </w:tc>
        <w:tc>
          <w:tcPr>
            <w:tcW w:w="570" w:type="dxa"/>
            <w:vMerge w:val="continue"/>
            <w:vAlign w:val="center"/>
          </w:tcPr>
          <w:p>
            <w:pPr>
              <w:jc w:val="center"/>
              <w:rPr>
                <w:rFonts w:ascii="仿宋" w:hAnsi="仿宋" w:eastAsia="仿宋" w:cs="仿宋"/>
                <w:sz w:val="24"/>
                <w:szCs w:val="24"/>
              </w:rPr>
            </w:pPr>
          </w:p>
        </w:tc>
        <w:tc>
          <w:tcPr>
            <w:tcW w:w="1194" w:type="dxa"/>
            <w:vAlign w:val="center"/>
          </w:tcPr>
          <w:p>
            <w:pPr>
              <w:jc w:val="center"/>
              <w:rPr>
                <w:rFonts w:hint="eastAsia" w:ascii="仿宋" w:hAnsi="仿宋" w:eastAsia="仿宋" w:cs="仿宋"/>
                <w:color w:val="auto"/>
                <w:kern w:val="2"/>
                <w:sz w:val="24"/>
                <w:szCs w:val="24"/>
                <w:lang w:val="en-US" w:eastAsia="zh-CN" w:bidi="ar-SA"/>
              </w:rPr>
            </w:pPr>
            <w:r>
              <w:rPr>
                <w:rFonts w:hint="eastAsia" w:ascii="仿宋" w:hAnsi="仿宋" w:eastAsia="仿宋" w:cs="仿宋"/>
                <w:sz w:val="24"/>
                <w:szCs w:val="24"/>
              </w:rPr>
              <w:t>履约承诺及违约责任</w:t>
            </w:r>
          </w:p>
        </w:tc>
        <w:tc>
          <w:tcPr>
            <w:tcW w:w="800"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w:t>
            </w:r>
          </w:p>
        </w:tc>
        <w:tc>
          <w:tcPr>
            <w:tcW w:w="5000" w:type="dxa"/>
            <w:vAlign w:val="center"/>
          </w:tcPr>
          <w:p>
            <w:pPr>
              <w:spacing w:line="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评审内容:投标人在方案中明确给出违约承诺(格式自拟)</w:t>
            </w:r>
          </w:p>
          <w:p>
            <w:pPr>
              <w:spacing w:line="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1.是否满足招标文件要求;</w:t>
            </w:r>
          </w:p>
          <w:p>
            <w:pPr>
              <w:spacing w:line="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2.承诺是否合理且有针对性:</w:t>
            </w:r>
          </w:p>
          <w:p>
            <w:pPr>
              <w:spacing w:line="0" w:lineRule="atLeas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3.是否有具体的违约责任承诺的。</w:t>
            </w:r>
          </w:p>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满足以上三项要求为优得满分，满足以上两项要求为良得3分，满足以上一项要求为中得2分，其他情况不得分。</w:t>
            </w:r>
          </w:p>
        </w:tc>
        <w:tc>
          <w:tcPr>
            <w:tcW w:w="686" w:type="dxa"/>
            <w:vAlign w:val="center"/>
          </w:tcPr>
          <w:p>
            <w:pPr>
              <w:pStyle w:val="2"/>
              <w:rPr>
                <w:rFonts w:ascii="宋体" w:hAnsi="Courier New" w:eastAsiaTheme="minorEastAsia" w:cstheme="minorBidi"/>
                <w:kern w:val="2"/>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05" w:type="dxa"/>
            <w:vMerge w:val="continue"/>
            <w:vAlign w:val="center"/>
          </w:tcPr>
          <w:p>
            <w:pPr>
              <w:jc w:val="center"/>
              <w:rPr>
                <w:rFonts w:ascii="仿宋" w:hAnsi="仿宋" w:eastAsia="仿宋" w:cs="仿宋"/>
                <w:sz w:val="24"/>
                <w:szCs w:val="24"/>
              </w:rPr>
            </w:pPr>
          </w:p>
        </w:tc>
        <w:tc>
          <w:tcPr>
            <w:tcW w:w="570" w:type="dxa"/>
            <w:vMerge w:val="continue"/>
            <w:vAlign w:val="center"/>
          </w:tcPr>
          <w:p>
            <w:pPr>
              <w:jc w:val="center"/>
              <w:rPr>
                <w:rFonts w:ascii="仿宋" w:hAnsi="仿宋" w:eastAsia="仿宋" w:cs="仿宋"/>
                <w:sz w:val="24"/>
                <w:szCs w:val="24"/>
              </w:rPr>
            </w:pPr>
          </w:p>
        </w:tc>
        <w:tc>
          <w:tcPr>
            <w:tcW w:w="1194"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诚信</w:t>
            </w:r>
          </w:p>
        </w:tc>
        <w:tc>
          <w:tcPr>
            <w:tcW w:w="80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00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深圳经济特区政府采购条例实施细则》、《深圳市财政委员会关于加强招投标评审环节诚信管理的通知》要求，投标人在参与政府采购活动中存在诚信相关问题的，得0分;不存在诚信问题，且出具诚信声明函，本项得5分。</w:t>
            </w:r>
          </w:p>
          <w:p>
            <w:pPr>
              <w:jc w:val="left"/>
              <w:rPr>
                <w:rFonts w:ascii="仿宋" w:hAnsi="仿宋" w:eastAsia="仿宋" w:cs="仿宋"/>
                <w:sz w:val="24"/>
                <w:szCs w:val="24"/>
              </w:rPr>
            </w:pPr>
            <w:r>
              <w:rPr>
                <w:rFonts w:hint="eastAsia" w:ascii="仿宋" w:hAnsi="仿宋" w:eastAsia="仿宋" w:cs="仿宋"/>
                <w:sz w:val="24"/>
                <w:szCs w:val="24"/>
                <w:lang w:val="en-US" w:eastAsia="zh-CN"/>
              </w:rPr>
              <w:t>注:如被认定提供的陈述与事实不符的，依法追究其责任。</w:t>
            </w:r>
          </w:p>
        </w:tc>
        <w:tc>
          <w:tcPr>
            <w:tcW w:w="686" w:type="dxa"/>
            <w:vAlign w:val="center"/>
          </w:tc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05"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技术标</w:t>
            </w:r>
          </w:p>
        </w:tc>
        <w:tc>
          <w:tcPr>
            <w:tcW w:w="570" w:type="dxa"/>
            <w:vMerge w:val="restar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45</w:t>
            </w:r>
          </w:p>
        </w:tc>
        <w:tc>
          <w:tcPr>
            <w:tcW w:w="1194"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服务方案</w:t>
            </w:r>
          </w:p>
        </w:tc>
        <w:tc>
          <w:tcPr>
            <w:tcW w:w="80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500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（一）评分内容：</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投标人根据项目需求提供服务方案（包括但不限于编制依据、项目理解、实施流程、时间人员安排）</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（二）评分依据：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方案包含以上4项内容得10分；包含3项内容得5分；包含2项内容得1分，其他情况不得分。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在此基础上，根据方案响应情况进一步评审：</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1.服务方案内容全面、科学合理和可操作性强，加15分； </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2.服务方案内容较全面、较科学合理和可操作性较强，加10分；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3.服务方案内容全面性、科学合理性和可操作性较一般，加5分；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4.服务方案内容全面性、科学合理性和可操作性差，不加分。</w:t>
            </w:r>
          </w:p>
        </w:tc>
        <w:tc>
          <w:tcPr>
            <w:tcW w:w="686"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005" w:type="dxa"/>
            <w:vMerge w:val="continue"/>
            <w:vAlign w:val="center"/>
          </w:tcPr>
          <w:p>
            <w:pPr>
              <w:jc w:val="center"/>
              <w:rPr>
                <w:rFonts w:ascii="仿宋" w:hAnsi="仿宋" w:eastAsia="仿宋" w:cs="仿宋"/>
                <w:sz w:val="24"/>
                <w:szCs w:val="24"/>
              </w:rPr>
            </w:pPr>
          </w:p>
        </w:tc>
        <w:tc>
          <w:tcPr>
            <w:tcW w:w="570" w:type="dxa"/>
            <w:vMerge w:val="continue"/>
            <w:vAlign w:val="center"/>
          </w:tcPr>
          <w:p>
            <w:pPr>
              <w:jc w:val="center"/>
              <w:rPr>
                <w:rFonts w:ascii="仿宋" w:hAnsi="仿宋" w:eastAsia="仿宋" w:cs="仿宋"/>
                <w:sz w:val="24"/>
                <w:szCs w:val="24"/>
              </w:rPr>
            </w:pPr>
          </w:p>
        </w:tc>
        <w:tc>
          <w:tcPr>
            <w:tcW w:w="1194" w:type="dxa"/>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sz w:val="24"/>
                <w:szCs w:val="24"/>
                <w:lang w:val="en-US" w:eastAsia="zh-CN"/>
              </w:rPr>
              <w:t>质量(完成时间、安全)保障方案</w:t>
            </w:r>
          </w:p>
        </w:tc>
        <w:tc>
          <w:tcPr>
            <w:tcW w:w="800"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000" w:type="dxa"/>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（一）评分内容：</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投标人根据项目需求提供服务保障方案（包括但不限于质量保障和应急服务）</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（二）评分依据：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方案包含以上2项内容得10分；包含1项内容得5分；其他情况不得分。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在此基础上，根据方案响应情况进一步评审：</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1.服务保障方案内容全面、具体，可行性高，得10分；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2.服务保障方案内容较全面，可行性较高，得6分；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3.服务保障方案全面性、可行性一般，得3分；</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4.服务保障方案不全，可行性低，不加分。</w:t>
            </w:r>
          </w:p>
        </w:tc>
        <w:tc>
          <w:tcPr>
            <w:tcW w:w="686" w:type="dxa"/>
            <w:vAlign w:val="center"/>
          </w:tcPr>
          <w:p>
            <w:pPr>
              <w:pStyle w:val="2"/>
            </w:pPr>
          </w:p>
        </w:tc>
      </w:tr>
    </w:tbl>
    <w:p>
      <w:pPr>
        <w:rPr>
          <w:rFonts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5B4755"/>
    <w:rsid w:val="000F40A4"/>
    <w:rsid w:val="001D2F27"/>
    <w:rsid w:val="00277ED2"/>
    <w:rsid w:val="00540B8F"/>
    <w:rsid w:val="005B4755"/>
    <w:rsid w:val="005B621D"/>
    <w:rsid w:val="006255B1"/>
    <w:rsid w:val="00635CB0"/>
    <w:rsid w:val="007A4F24"/>
    <w:rsid w:val="007C6D11"/>
    <w:rsid w:val="008E39BE"/>
    <w:rsid w:val="00916C66"/>
    <w:rsid w:val="00AD3D30"/>
    <w:rsid w:val="00B803A1"/>
    <w:rsid w:val="00BB553F"/>
    <w:rsid w:val="00C67A22"/>
    <w:rsid w:val="00D71BD6"/>
    <w:rsid w:val="00DA4F0F"/>
    <w:rsid w:val="00DF4FC1"/>
    <w:rsid w:val="00FD16A2"/>
    <w:rsid w:val="032A706E"/>
    <w:rsid w:val="04B4134F"/>
    <w:rsid w:val="05E82638"/>
    <w:rsid w:val="063D0403"/>
    <w:rsid w:val="068B4018"/>
    <w:rsid w:val="083F4386"/>
    <w:rsid w:val="0D0B64D5"/>
    <w:rsid w:val="0F5A67DC"/>
    <w:rsid w:val="124325D7"/>
    <w:rsid w:val="159376DA"/>
    <w:rsid w:val="15FE3828"/>
    <w:rsid w:val="163E58B7"/>
    <w:rsid w:val="1A017584"/>
    <w:rsid w:val="1A4931BD"/>
    <w:rsid w:val="247515C7"/>
    <w:rsid w:val="267C4A79"/>
    <w:rsid w:val="2AD362A9"/>
    <w:rsid w:val="2B8763F8"/>
    <w:rsid w:val="2D5603D6"/>
    <w:rsid w:val="304C09E4"/>
    <w:rsid w:val="32B51553"/>
    <w:rsid w:val="35BE2978"/>
    <w:rsid w:val="3816351F"/>
    <w:rsid w:val="38A20FC7"/>
    <w:rsid w:val="3E759AC5"/>
    <w:rsid w:val="3E9D6D69"/>
    <w:rsid w:val="41885C46"/>
    <w:rsid w:val="45794C34"/>
    <w:rsid w:val="48F043FB"/>
    <w:rsid w:val="4A3574E5"/>
    <w:rsid w:val="4E686435"/>
    <w:rsid w:val="4EBA4AA0"/>
    <w:rsid w:val="510420F9"/>
    <w:rsid w:val="5471322A"/>
    <w:rsid w:val="61893F9F"/>
    <w:rsid w:val="69613C18"/>
    <w:rsid w:val="6C3C4FE0"/>
    <w:rsid w:val="6DE35EAF"/>
    <w:rsid w:val="EBCF7242"/>
    <w:rsid w:val="FF4FC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annotation text"/>
    <w:basedOn w:val="1"/>
    <w:semiHidden/>
    <w:unhideWhenUsed/>
    <w:qFormat/>
    <w:uiPriority w:val="99"/>
    <w:pPr>
      <w:jc w:val="left"/>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rFonts w:asciiTheme="minorHAnsi" w:hAnsiTheme="minorHAnsi" w:eastAsiaTheme="minorEastAsia" w:cstheme="minorBidi"/>
      <w:kern w:val="2"/>
      <w:sz w:val="18"/>
      <w:szCs w:val="18"/>
    </w:rPr>
  </w:style>
  <w:style w:type="character" w:customStyle="1" w:styleId="11">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462</Words>
  <Characters>490</Characters>
  <Lines>3</Lines>
  <Paragraphs>1</Paragraphs>
  <TotalTime>4</TotalTime>
  <ScaleCrop>false</ScaleCrop>
  <LinksUpToDate>false</LinksUpToDate>
  <CharactersWithSpaces>490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2019-05-15T11:02:00Z</dcterms:created>
  <dc:creator>321</dc:creator>
  <cp:lastModifiedBy>郑锦婷</cp:lastModifiedBy>
  <dcterms:modified xsi:type="dcterms:W3CDTF">2024-05-28T14:58:24Z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E82B1748DD34F1D490805566D38EA025</vt:lpwstr>
  </property>
</Properties>
</file>