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sz w:val="44"/>
        </w:rPr>
      </w:pPr>
      <w:r>
        <w:rPr>
          <w:rFonts w:hint="eastAsia" w:ascii="黑体" w:hAnsi="黑体" w:eastAsia="黑体" w:cs="黑体"/>
          <w:b/>
          <w:sz w:val="30"/>
          <w:szCs w:val="30"/>
          <w:lang w:val="en-US" w:eastAsia="zh-CN"/>
        </w:rPr>
        <w:t>附件1</w:t>
      </w:r>
      <w:bookmarkStart w:id="0" w:name="_GoBack"/>
      <w:bookmarkEnd w:id="0"/>
      <w:r>
        <w:rPr>
          <w:rFonts w:hint="eastAsia" w:ascii="黑体" w:hAnsi="黑体" w:eastAsia="黑体" w:cs="黑体"/>
          <w:b/>
          <w:sz w:val="30"/>
          <w:szCs w:val="30"/>
          <w:lang w:val="en-US" w:eastAsia="zh-CN"/>
        </w:rPr>
        <w:t>：</w:t>
      </w:r>
      <w:r>
        <w:rPr>
          <w:rFonts w:hint="eastAsia"/>
          <w:b/>
          <w:sz w:val="44"/>
          <w:lang w:val="en-US" w:eastAsia="zh-CN"/>
        </w:rPr>
        <w:t xml:space="preserve">         </w:t>
      </w:r>
      <w:r>
        <w:rPr>
          <w:rFonts w:hint="eastAsia"/>
          <w:b/>
          <w:sz w:val="44"/>
        </w:rPr>
        <w:t>评分</w:t>
      </w:r>
      <w:r>
        <w:rPr>
          <w:rFonts w:hint="default"/>
          <w:b/>
          <w:sz w:val="44"/>
        </w:rPr>
        <w:t>细则</w:t>
      </w:r>
    </w:p>
    <w:tbl>
      <w:tblPr>
        <w:tblStyle w:val="7"/>
        <w:tblpPr w:leftFromText="180" w:rightFromText="180" w:vertAnchor="page" w:horzAnchor="margin" w:tblpX="-365" w:tblpY="2431"/>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83"/>
        <w:gridCol w:w="1250"/>
        <w:gridCol w:w="483"/>
        <w:gridCol w:w="5900"/>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b/>
                <w:bCs/>
              </w:rPr>
            </w:pPr>
            <w:r>
              <w:rPr>
                <w:rFonts w:hint="eastAsia"/>
                <w:b/>
                <w:bCs/>
              </w:rPr>
              <w:t>评分</w:t>
            </w:r>
          </w:p>
          <w:p>
            <w:pPr>
              <w:jc w:val="center"/>
              <w:rPr>
                <w:b/>
                <w:bCs/>
              </w:rPr>
            </w:pPr>
            <w:r>
              <w:rPr>
                <w:b/>
                <w:bCs/>
              </w:rPr>
              <w:t>项目</w:t>
            </w:r>
          </w:p>
        </w:tc>
        <w:tc>
          <w:tcPr>
            <w:tcW w:w="483" w:type="dxa"/>
            <w:vAlign w:val="center"/>
          </w:tcPr>
          <w:p>
            <w:pPr>
              <w:jc w:val="center"/>
              <w:rPr>
                <w:b/>
                <w:bCs/>
              </w:rPr>
            </w:pPr>
            <w:r>
              <w:rPr>
                <w:rFonts w:hint="eastAsia"/>
                <w:b/>
                <w:bCs/>
              </w:rPr>
              <w:t>满分</w:t>
            </w:r>
          </w:p>
        </w:tc>
        <w:tc>
          <w:tcPr>
            <w:tcW w:w="1250" w:type="dxa"/>
            <w:vAlign w:val="center"/>
          </w:tcPr>
          <w:p>
            <w:pPr>
              <w:jc w:val="center"/>
              <w:rPr>
                <w:b/>
                <w:bCs/>
              </w:rPr>
            </w:pPr>
            <w:r>
              <w:rPr>
                <w:rFonts w:hint="eastAsia"/>
                <w:b/>
                <w:bCs/>
              </w:rPr>
              <w:t>评分</w:t>
            </w:r>
            <w:r>
              <w:rPr>
                <w:b/>
                <w:bCs/>
              </w:rPr>
              <w:t>项目</w:t>
            </w:r>
          </w:p>
        </w:tc>
        <w:tc>
          <w:tcPr>
            <w:tcW w:w="483" w:type="dxa"/>
            <w:vAlign w:val="center"/>
          </w:tcPr>
          <w:p>
            <w:pPr>
              <w:jc w:val="center"/>
              <w:rPr>
                <w:b/>
                <w:bCs/>
              </w:rPr>
            </w:pPr>
            <w:r>
              <w:rPr>
                <w:rFonts w:hint="eastAsia"/>
                <w:b/>
                <w:bCs/>
              </w:rPr>
              <w:t>分值</w:t>
            </w:r>
          </w:p>
        </w:tc>
        <w:tc>
          <w:tcPr>
            <w:tcW w:w="5900" w:type="dxa"/>
            <w:vAlign w:val="center"/>
          </w:tcPr>
          <w:p>
            <w:pPr>
              <w:jc w:val="center"/>
              <w:rPr>
                <w:b/>
                <w:bCs/>
              </w:rPr>
            </w:pPr>
            <w:r>
              <w:rPr>
                <w:rFonts w:hint="eastAsia"/>
                <w:b/>
                <w:bCs/>
              </w:rPr>
              <w:t>评分</w:t>
            </w:r>
            <w:r>
              <w:rPr>
                <w:b/>
                <w:bCs/>
              </w:rPr>
              <w:t>办法</w:t>
            </w:r>
          </w:p>
        </w:tc>
        <w:tc>
          <w:tcPr>
            <w:tcW w:w="553" w:type="dxa"/>
            <w:vAlign w:val="center"/>
          </w:tcPr>
          <w:p>
            <w:pPr>
              <w:jc w:val="center"/>
              <w:rPr>
                <w:b/>
                <w:bCs/>
              </w:rPr>
            </w:pPr>
            <w:r>
              <w:rPr>
                <w:rFonts w:hint="eastAsia"/>
                <w:b/>
                <w:bCs/>
              </w:rPr>
              <w:t>评分打分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86" w:type="dxa"/>
            <w:vAlign w:val="center"/>
          </w:tcPr>
          <w:p>
            <w:pPr>
              <w:rPr>
                <w:rFonts w:ascii="仿宋" w:hAnsi="仿宋" w:eastAsia="仿宋" w:cs="仿宋"/>
                <w:sz w:val="24"/>
                <w:szCs w:val="24"/>
              </w:rPr>
            </w:pPr>
            <w:r>
              <w:rPr>
                <w:rFonts w:hint="eastAsia" w:ascii="仿宋" w:hAnsi="仿宋" w:eastAsia="仿宋" w:cs="仿宋"/>
                <w:sz w:val="24"/>
                <w:szCs w:val="24"/>
              </w:rPr>
              <w:t>价格标</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250" w:type="dxa"/>
            <w:vAlign w:val="center"/>
          </w:tcPr>
          <w:p>
            <w:pPr>
              <w:jc w:val="center"/>
              <w:rPr>
                <w:rFonts w:ascii="仿宋" w:hAnsi="仿宋" w:eastAsia="仿宋" w:cs="仿宋"/>
                <w:sz w:val="24"/>
                <w:szCs w:val="24"/>
              </w:rPr>
            </w:pPr>
            <w:r>
              <w:rPr>
                <w:rFonts w:hint="eastAsia" w:ascii="仿宋" w:hAnsi="仿宋" w:eastAsia="仿宋" w:cs="仿宋"/>
                <w:sz w:val="24"/>
                <w:szCs w:val="24"/>
              </w:rPr>
              <w:t>投标报价</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价格分应当采用低价优先法计算，即满足招标文件要求且投标价格最低的投标报价为评标基准价，其价格分为满分。其他投标人的价格分统一按照下列公式计算:投标报价得分=(评标基准价/投标报价)x100x权重</w:t>
            </w:r>
          </w:p>
          <w:p>
            <w:pPr>
              <w:rPr>
                <w:rFonts w:ascii="仿宋" w:hAnsi="仿宋" w:eastAsia="仿宋" w:cs="仿宋"/>
                <w:sz w:val="24"/>
                <w:szCs w:val="24"/>
              </w:rPr>
            </w:pPr>
            <w:r>
              <w:rPr>
                <w:rFonts w:hint="eastAsia" w:ascii="仿宋" w:hAnsi="仿宋" w:eastAsia="仿宋" w:cs="仿宋"/>
                <w:sz w:val="24"/>
                <w:szCs w:val="24"/>
              </w:rPr>
              <w:t>备注:投标报价得分四舍五入后，小数点后保留两位有效数。</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86" w:type="dxa"/>
            <w:vMerge w:val="restart"/>
            <w:vAlign w:val="center"/>
          </w:tcPr>
          <w:p>
            <w:pPr>
              <w:rPr>
                <w:rFonts w:ascii="仿宋" w:hAnsi="仿宋" w:eastAsia="仿宋" w:cs="仿宋"/>
                <w:sz w:val="24"/>
                <w:szCs w:val="24"/>
              </w:rPr>
            </w:pPr>
            <w:r>
              <w:rPr>
                <w:rFonts w:hint="eastAsia" w:ascii="仿宋" w:hAnsi="仿宋" w:eastAsia="仿宋" w:cs="仿宋"/>
                <w:sz w:val="24"/>
                <w:szCs w:val="24"/>
              </w:rPr>
              <w:t>商务标</w:t>
            </w:r>
          </w:p>
        </w:tc>
        <w:tc>
          <w:tcPr>
            <w:tcW w:w="483" w:type="dxa"/>
            <w:vMerge w:val="restar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25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投标人相关认证情况</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考察投标人管理体系及相关资质认证:</w:t>
            </w:r>
          </w:p>
          <w:p>
            <w:pPr>
              <w:rPr>
                <w:rFonts w:hint="eastAsia" w:ascii="仿宋" w:hAnsi="仿宋" w:eastAsia="仿宋" w:cs="仿宋"/>
                <w:sz w:val="24"/>
                <w:szCs w:val="24"/>
                <w:lang w:val="zh-CN"/>
              </w:rPr>
            </w:pPr>
            <w:r>
              <w:rPr>
                <w:rFonts w:hint="eastAsia" w:ascii="仿宋" w:hAnsi="仿宋" w:eastAsia="仿宋" w:cs="仿宋"/>
                <w:sz w:val="24"/>
                <w:szCs w:val="24"/>
                <w:lang w:val="zh-CN"/>
              </w:rPr>
              <w:t>1.具备有效期内的质量管理体系认证证书，认证范围需包含新闻和出版、互联网信息服务相关的认证范围的得1分:</w:t>
            </w:r>
          </w:p>
          <w:p>
            <w:pPr>
              <w:rPr>
                <w:rFonts w:hint="eastAsia" w:ascii="仿宋" w:hAnsi="仿宋" w:eastAsia="仿宋" w:cs="仿宋"/>
                <w:sz w:val="24"/>
                <w:szCs w:val="24"/>
                <w:lang w:val="zh-CN"/>
              </w:rPr>
            </w:pPr>
            <w:r>
              <w:rPr>
                <w:rFonts w:hint="eastAsia" w:ascii="仿宋" w:hAnsi="仿宋" w:eastAsia="仿宋" w:cs="仿宋"/>
                <w:sz w:val="24"/>
                <w:szCs w:val="24"/>
                <w:lang w:val="zh-CN"/>
              </w:rPr>
              <w:t>2.具备有效期内的环境管理体系认证证书，认证范围需包含新闻和出版、互联网信息服务等相关的认证范围的得1分:</w:t>
            </w:r>
          </w:p>
          <w:p>
            <w:pPr>
              <w:rPr>
                <w:rFonts w:hint="eastAsia" w:ascii="仿宋" w:hAnsi="仿宋" w:eastAsia="仿宋" w:cs="仿宋"/>
                <w:sz w:val="24"/>
                <w:szCs w:val="24"/>
                <w:lang w:val="zh-CN"/>
              </w:rPr>
            </w:pPr>
            <w:r>
              <w:rPr>
                <w:rFonts w:hint="eastAsia" w:ascii="仿宋" w:hAnsi="仿宋" w:eastAsia="仿宋" w:cs="仿宋"/>
                <w:sz w:val="24"/>
                <w:szCs w:val="24"/>
                <w:lang w:val="zh-CN"/>
              </w:rPr>
              <w:t>3.具备报纸出版许可证的得1分;</w:t>
            </w:r>
          </w:p>
          <w:p>
            <w:pPr>
              <w:rPr>
                <w:rFonts w:hint="eastAsia" w:ascii="仿宋" w:hAnsi="仿宋" w:eastAsia="仿宋" w:cs="仿宋"/>
                <w:sz w:val="24"/>
                <w:szCs w:val="24"/>
                <w:lang w:val="zh-CN"/>
              </w:rPr>
            </w:pPr>
            <w:r>
              <w:rPr>
                <w:rFonts w:hint="eastAsia" w:ascii="仿宋" w:hAnsi="仿宋" w:eastAsia="仿宋" w:cs="仿宋"/>
                <w:sz w:val="24"/>
                <w:szCs w:val="24"/>
                <w:lang w:val="zh-CN"/>
              </w:rPr>
              <w:t>4.具备互联网新闻信息服务许可证的得2分;</w:t>
            </w:r>
          </w:p>
          <w:p>
            <w:pPr>
              <w:rPr>
                <w:rFonts w:hint="eastAsia" w:ascii="仿宋" w:hAnsi="仿宋" w:eastAsia="仿宋" w:cs="仿宋"/>
                <w:sz w:val="24"/>
                <w:szCs w:val="24"/>
                <w:lang w:val="zh-CN"/>
              </w:rPr>
            </w:pPr>
            <w:r>
              <w:rPr>
                <w:rFonts w:hint="eastAsia" w:ascii="仿宋" w:hAnsi="仿宋" w:eastAsia="仿宋" w:cs="仿宋"/>
                <w:sz w:val="24"/>
                <w:szCs w:val="24"/>
                <w:lang w:val="zh-CN"/>
              </w:rPr>
              <w:t>以上4项累计加分，满分5分。</w:t>
            </w:r>
          </w:p>
          <w:p>
            <w:pPr>
              <w:rPr>
                <w:rFonts w:hint="eastAsia" w:ascii="仿宋" w:hAnsi="仿宋" w:eastAsia="仿宋" w:cs="仿宋"/>
                <w:sz w:val="24"/>
                <w:szCs w:val="24"/>
                <w:lang w:val="zh-CN"/>
              </w:rPr>
            </w:pPr>
            <w:r>
              <w:rPr>
                <w:rFonts w:hint="eastAsia" w:ascii="仿宋" w:hAnsi="仿宋" w:eastAsia="仿宋" w:cs="仿宋"/>
                <w:sz w:val="24"/>
                <w:szCs w:val="24"/>
                <w:lang w:val="zh-CN"/>
              </w:rPr>
              <w:t>证明文件:</w:t>
            </w:r>
          </w:p>
          <w:p>
            <w:pPr>
              <w:rPr>
                <w:rFonts w:hint="default" w:ascii="仿宋" w:hAnsi="仿宋" w:eastAsia="仿宋" w:cs="仿宋"/>
                <w:sz w:val="24"/>
                <w:szCs w:val="24"/>
                <w:lang w:val="en-US" w:eastAsia="zh-CN"/>
              </w:rPr>
            </w:pPr>
            <w:r>
              <w:rPr>
                <w:rFonts w:hint="eastAsia" w:ascii="仿宋" w:hAnsi="仿宋" w:eastAsia="仿宋" w:cs="仿宋"/>
                <w:sz w:val="24"/>
                <w:szCs w:val="24"/>
                <w:lang w:val="zh-CN"/>
              </w:rPr>
              <w:t>投标人须提供有效的证书复印件，其中第(1)、(2)项须提供国家认证认可监督管理委员会官方网站(www.cnca.gov.cn)或相关网站查询截图加盖投标人公章。未提供证明材料或证明材料不符合要求或不清晰导致专家无法辨认的，不得分。</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投标人同类项目业绩情况</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90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(一)评分内容:</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1.投标人近三年2019年1月1日起，以合同签订时间为准)有市级或以上政务微信项目运营经验的，每个项目得0.5分，此小项满分5分: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2.曾有政务新媒体策划类(包括H5、长图、视频等策划产品)相关案例经验的，每提供一项1分，本项最高得5分。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(二)评分依据:</w:t>
            </w:r>
          </w:p>
          <w:p>
            <w:pPr>
              <w:numPr>
                <w:ilvl w:val="0"/>
                <w:numId w:val="0"/>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以上同类项目须提供中标通知书或合同关键页(含签订合同双方的单位名称、合同项目名称、盖章、日期的关键页)的复印件并加盖投标人公章，否则不得分;同一客户同一项目计为1项，不可重复得分;无证明资料或专家无法凭所提供资料判断是否得分的情况，一律作不得分处理。</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投标人获奖情况</w:t>
            </w:r>
          </w:p>
        </w:tc>
        <w:tc>
          <w:tcPr>
            <w:tcW w:w="48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90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(一)评分内容:</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投标人获得宣传或策划或经营或新闻方面的奖项(荣誉、表彰)情况:</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获得一项国家级奖项得2分，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获得一项省级奖项得1分，获得一项市级奖项得0.5分，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以上可累计加分，总分不超过4分。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(二)评分依据:</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1.要求提供奖项照片或获奖(荣誉)证书等证明材料;</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2.以上资料均要求提供复印件(或官方网站截图)。无证明资料或专家无法凭所提供资料判断是否得分的情况，一律不得分:</w:t>
            </w:r>
          </w:p>
          <w:p>
            <w:pPr>
              <w:numPr>
                <w:ilvl w:val="0"/>
                <w:numId w:val="0"/>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国家级荣誉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r>
              <w:rPr>
                <w:rFonts w:hint="eastAsia" w:ascii="仿宋" w:hAnsi="仿宋" w:eastAsia="仿宋" w:cs="仿宋"/>
                <w:sz w:val="24"/>
                <w:szCs w:val="24"/>
                <w:lang w:val="en-US" w:eastAsia="zh-CN"/>
              </w:rPr>
              <w:tab/>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拟安排的项目负责人情况(限一人)</w:t>
            </w:r>
            <w:r>
              <w:rPr>
                <w:rFonts w:hint="default" w:ascii="仿宋" w:hAnsi="仿宋" w:eastAsia="仿宋" w:cs="仿宋"/>
                <w:sz w:val="24"/>
                <w:szCs w:val="24"/>
                <w:lang w:val="en-US" w:eastAsia="zh-CN"/>
              </w:rPr>
              <w:tab/>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90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(一)评分内容:</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1.项目负责人具有汉语言文学或新闻或传播或广告或市场营销等相关专业硕士或以上学历(含海外留学)得2分;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2.项目负责人曾担任宣传(策划或公益广告或公众号)项目负责人的得2分;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3.项目负责人具备新闻专业副高职称(即主任编辑或主任记者资格)或以上职称证书得2分。证明材料及评分依据:</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1.要求提供项目负责人的劳动合同关键信息页或缴纳社保的承诺函(格式自拟);提供项目负责人的工作经验证明和证书证明材料作为得分依据;否则整项不得分;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2.以上资料均要求提供复印件并加盖投标人公章;</w:t>
            </w:r>
          </w:p>
          <w:p>
            <w:pPr>
              <w:numPr>
                <w:ilvl w:val="0"/>
                <w:numId w:val="0"/>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3.如涉及工作经验的，工作经验证明为项目合同关键信息(含签订合同双方的单位名称、合同项目名称、双方落款盖章、签订日期的关键页)。合同关键信息无法判断是否得分的，可提供合同甲方出具的证明文件。</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拟安排的项目团队主要成员情况(项目负责人除外)</w:t>
            </w:r>
          </w:p>
        </w:tc>
        <w:tc>
          <w:tcPr>
            <w:tcW w:w="48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(一)评分内容:</w:t>
            </w:r>
          </w:p>
          <w:p>
            <w:pPr>
              <w:rPr>
                <w:rFonts w:hint="eastAsia" w:ascii="仿宋" w:hAnsi="仿宋" w:eastAsia="仿宋" w:cs="仿宋"/>
                <w:sz w:val="24"/>
                <w:szCs w:val="24"/>
              </w:rPr>
            </w:pPr>
            <w:r>
              <w:rPr>
                <w:rFonts w:hint="eastAsia" w:ascii="仿宋" w:hAnsi="仿宋" w:eastAsia="仿宋" w:cs="仿宋"/>
                <w:sz w:val="24"/>
                <w:szCs w:val="24"/>
              </w:rPr>
              <w:t>考察整体服务团队人员基本能力素质情况。</w:t>
            </w:r>
          </w:p>
          <w:p>
            <w:pPr>
              <w:rPr>
                <w:rFonts w:hint="eastAsia" w:ascii="仿宋" w:hAnsi="仿宋" w:eastAsia="仿宋" w:cs="仿宋"/>
                <w:sz w:val="24"/>
                <w:szCs w:val="24"/>
              </w:rPr>
            </w:pPr>
            <w:r>
              <w:rPr>
                <w:rFonts w:hint="eastAsia" w:ascii="仿宋" w:hAnsi="仿宋" w:eastAsia="仿宋" w:cs="仿宋"/>
                <w:sz w:val="24"/>
                <w:szCs w:val="24"/>
              </w:rPr>
              <w:t>安排至少4名项目成员，其中责任编辑1名，编辑2名（每周需派驻1名编辑在市殡葬服务中心工作</w:t>
            </w:r>
            <w:r>
              <w:rPr>
                <w:rFonts w:hint="default" w:ascii="仿宋" w:hAnsi="仿宋" w:eastAsia="仿宋" w:cs="仿宋"/>
                <w:sz w:val="24"/>
                <w:szCs w:val="24"/>
              </w:rPr>
              <w:t>一次</w:t>
            </w:r>
            <w:r>
              <w:rPr>
                <w:rFonts w:hint="eastAsia" w:ascii="仿宋" w:hAnsi="仿宋" w:eastAsia="仿宋" w:cs="仿宋"/>
                <w:sz w:val="24"/>
                <w:szCs w:val="24"/>
              </w:rPr>
              <w:t>），美编1名。</w:t>
            </w:r>
          </w:p>
          <w:p>
            <w:pPr>
              <w:rPr>
                <w:rFonts w:hint="eastAsia" w:ascii="仿宋" w:hAnsi="仿宋" w:eastAsia="仿宋" w:cs="仿宋"/>
                <w:sz w:val="24"/>
                <w:szCs w:val="24"/>
              </w:rPr>
            </w:pPr>
            <w:r>
              <w:rPr>
                <w:rFonts w:hint="eastAsia" w:ascii="仿宋" w:hAnsi="仿宋" w:eastAsia="仿宋" w:cs="仿宋"/>
                <w:sz w:val="24"/>
                <w:szCs w:val="24"/>
              </w:rPr>
              <w:t>(二)评分依据:</w:t>
            </w:r>
          </w:p>
          <w:p>
            <w:pPr>
              <w:rPr>
                <w:rFonts w:hint="eastAsia" w:ascii="仿宋" w:hAnsi="仿宋" w:eastAsia="仿宋" w:cs="仿宋"/>
                <w:sz w:val="24"/>
                <w:szCs w:val="24"/>
              </w:rPr>
            </w:pPr>
            <w:r>
              <w:rPr>
                <w:rFonts w:hint="eastAsia" w:ascii="仿宋" w:hAnsi="仿宋" w:eastAsia="仿宋" w:cs="仿宋"/>
                <w:sz w:val="24"/>
                <w:szCs w:val="24"/>
              </w:rPr>
              <w:t>1.提供项目成员近六个月必须在投标单位缴纳社保，否则本项直接计0分。在此基础上：</w:t>
            </w:r>
          </w:p>
          <w:p>
            <w:pPr>
              <w:rPr>
                <w:rFonts w:hint="eastAsia" w:ascii="仿宋" w:hAnsi="仿宋" w:eastAsia="仿宋" w:cs="仿宋"/>
                <w:sz w:val="24"/>
                <w:szCs w:val="24"/>
              </w:rPr>
            </w:pPr>
            <w:r>
              <w:rPr>
                <w:rFonts w:hint="eastAsia" w:ascii="仿宋" w:hAnsi="仿宋" w:eastAsia="仿宋" w:cs="仿宋"/>
                <w:sz w:val="24"/>
                <w:szCs w:val="24"/>
              </w:rPr>
              <w:t>具备本科或以上学历的，每人得2分，满分8分。</w:t>
            </w:r>
          </w:p>
          <w:p>
            <w:pPr>
              <w:rPr>
                <w:rFonts w:hint="eastAsia" w:ascii="仿宋" w:hAnsi="仿宋" w:eastAsia="仿宋" w:cs="仿宋"/>
                <w:sz w:val="24"/>
                <w:szCs w:val="24"/>
              </w:rPr>
            </w:pPr>
            <w:r>
              <w:rPr>
                <w:rFonts w:hint="eastAsia" w:ascii="仿宋" w:hAnsi="仿宋" w:eastAsia="仿宋" w:cs="仿宋"/>
                <w:sz w:val="24"/>
                <w:szCs w:val="24"/>
              </w:rPr>
              <w:t>备注：提供投标截止日六个月的通过投标人参保的《深圳市社会保险参保证明》（网页截图或窗口打印资料或社保部门出具的证明均可)、相关学历证书，未提供证明或者不能有效证明的得0分。</w:t>
            </w:r>
          </w:p>
          <w:p>
            <w:pPr>
              <w:rPr>
                <w:rFonts w:ascii="仿宋" w:hAnsi="仿宋" w:eastAsia="仿宋" w:cs="仿宋"/>
                <w:sz w:val="24"/>
                <w:szCs w:val="24"/>
              </w:rPr>
            </w:pPr>
            <w:r>
              <w:rPr>
                <w:rFonts w:hint="eastAsia" w:ascii="仿宋" w:hAnsi="仿宋" w:eastAsia="仿宋" w:cs="仿宋"/>
                <w:sz w:val="24"/>
                <w:szCs w:val="24"/>
              </w:rPr>
              <w:t>2.以上资料均要求提供复印件并加盖投标人公章。</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投标人运营推广能力和水平</w:t>
            </w:r>
          </w:p>
        </w:tc>
        <w:tc>
          <w:tcPr>
            <w:tcW w:w="483"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(一)评分内容:</w:t>
            </w:r>
          </w:p>
          <w:p>
            <w:pPr>
              <w:rPr>
                <w:rFonts w:hint="eastAsia" w:ascii="仿宋" w:hAnsi="仿宋" w:eastAsia="仿宋" w:cs="仿宋"/>
                <w:sz w:val="24"/>
                <w:szCs w:val="24"/>
              </w:rPr>
            </w:pPr>
            <w:r>
              <w:rPr>
                <w:rFonts w:hint="eastAsia" w:ascii="仿宋" w:hAnsi="仿宋" w:eastAsia="仿宋" w:cs="仿宋"/>
                <w:sz w:val="24"/>
                <w:szCs w:val="24"/>
              </w:rPr>
              <w:t>1.投标人运营的公众号，在投标人合同服务期内的粉丝量达100万(含)以上的，每提供一个得0.5分;粉丝量达200万(含)，每提供一个得1分;此小项累计最高不超过2分:</w:t>
            </w:r>
          </w:p>
          <w:p>
            <w:pPr>
              <w:rPr>
                <w:rFonts w:hint="eastAsia" w:ascii="仿宋" w:hAnsi="仿宋" w:eastAsia="仿宋" w:cs="仿宋"/>
                <w:sz w:val="24"/>
                <w:szCs w:val="24"/>
              </w:rPr>
            </w:pPr>
            <w:r>
              <w:rPr>
                <w:rFonts w:hint="eastAsia" w:ascii="仿宋" w:hAnsi="仿宋" w:eastAsia="仿宋" w:cs="仿宋"/>
                <w:sz w:val="24"/>
                <w:szCs w:val="24"/>
              </w:rPr>
              <w:t>2.投标人运营的公众号，单篇推文阅读量达200万及以上的，每提供一篇得1分;单篇推文阅读量达100万(含)以上200万(不含)以下的，每一篇得0.5分;此小项累计得分最高不超过1分;</w:t>
            </w:r>
          </w:p>
          <w:p>
            <w:pPr>
              <w:rPr>
                <w:rFonts w:hint="eastAsia" w:ascii="仿宋" w:hAnsi="仿宋" w:eastAsia="仿宋" w:cs="仿宋"/>
                <w:sz w:val="24"/>
                <w:szCs w:val="24"/>
              </w:rPr>
            </w:pPr>
            <w:r>
              <w:rPr>
                <w:rFonts w:hint="eastAsia" w:ascii="仿宋" w:hAnsi="仿宋" w:eastAsia="仿宋" w:cs="仿宋"/>
                <w:sz w:val="24"/>
                <w:szCs w:val="24"/>
              </w:rPr>
              <w:t>3.投标人自负责运营的政务新媒体平台(微信公众号)单篇推文阅读量，根据阅读量超10万次的推文数量进行打分:数量≥20个的得2分，10 个≤数量&lt;20个的得1分，5≤数量&lt;10个的得0.5分，其他情况不得分:</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（二）评分依据</w:t>
            </w:r>
          </w:p>
          <w:p>
            <w:pPr>
              <w:rPr>
                <w:rFonts w:hint="eastAsia" w:ascii="仿宋" w:hAnsi="仿宋" w:eastAsia="仿宋" w:cs="仿宋"/>
                <w:sz w:val="24"/>
                <w:szCs w:val="24"/>
              </w:rPr>
            </w:pPr>
            <w:r>
              <w:rPr>
                <w:rFonts w:hint="eastAsia" w:ascii="仿宋" w:hAnsi="仿宋" w:eastAsia="仿宋" w:cs="仿宋"/>
                <w:sz w:val="24"/>
                <w:szCs w:val="24"/>
              </w:rPr>
              <w:t>1.须提供项目合同证明材料复印件(合同需证明公众号曾归属投标人运营)和公众号后台粉丝数截图(须为投标人运营合同服务期内的实际粉丝数)，否则不得分:</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2.须提供项目合同证明材料复印件和推文阅读数截图(须为投标人运营合同服务期内发布的推文)，需附上原文链接，否则不得分。</w:t>
            </w:r>
            <w:r>
              <w:rPr>
                <w:rFonts w:hint="eastAsia" w:ascii="仿宋" w:hAnsi="仿宋" w:eastAsia="仿宋" w:cs="仿宋"/>
                <w:sz w:val="24"/>
                <w:szCs w:val="24"/>
              </w:rPr>
              <w:tab/>
            </w:r>
            <w:r>
              <w:rPr>
                <w:rFonts w:hint="eastAsia" w:ascii="仿宋" w:hAnsi="仿宋" w:eastAsia="仿宋" w:cs="仿宋"/>
                <w:sz w:val="24"/>
                <w:szCs w:val="24"/>
              </w:rPr>
              <w:tab/>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诚信</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工作人员向评审委员会提供相关信息。</w:t>
            </w:r>
          </w:p>
        </w:tc>
        <w:tc>
          <w:tcPr>
            <w:tcW w:w="553" w:type="dxa"/>
            <w:vAlign w:val="center"/>
          </w:tcPr>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86" w:type="dxa"/>
            <w:vMerge w:val="restart"/>
            <w:vAlign w:val="center"/>
          </w:tcPr>
          <w:p>
            <w:pPr>
              <w:rPr>
                <w:rFonts w:ascii="仿宋" w:hAnsi="仿宋" w:eastAsia="仿宋" w:cs="仿宋"/>
                <w:sz w:val="24"/>
                <w:szCs w:val="24"/>
              </w:rPr>
            </w:pPr>
            <w:r>
              <w:rPr>
                <w:rFonts w:hint="eastAsia" w:ascii="仿宋" w:hAnsi="仿宋" w:eastAsia="仿宋" w:cs="仿宋"/>
                <w:sz w:val="24"/>
                <w:szCs w:val="24"/>
                <w:lang w:val="en-US" w:eastAsia="zh-CN"/>
              </w:rPr>
              <w:t>技术</w:t>
            </w:r>
            <w:r>
              <w:rPr>
                <w:rFonts w:hint="eastAsia" w:ascii="仿宋" w:hAnsi="仿宋" w:eastAsia="仿宋" w:cs="仿宋"/>
                <w:sz w:val="24"/>
                <w:szCs w:val="24"/>
              </w:rPr>
              <w:t>标</w:t>
            </w:r>
          </w:p>
        </w:tc>
        <w:tc>
          <w:tcPr>
            <w:tcW w:w="483" w:type="dxa"/>
            <w:vMerge w:val="restar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实施方案</w:t>
            </w:r>
          </w:p>
          <w:p>
            <w:pPr>
              <w:jc w:val="center"/>
              <w:rPr>
                <w:rFonts w:hint="eastAsia" w:ascii="仿宋" w:hAnsi="仿宋" w:eastAsia="仿宋" w:cs="仿宋"/>
                <w:sz w:val="24"/>
                <w:szCs w:val="24"/>
                <w:lang w:val="en-US" w:eastAsia="zh-CN"/>
              </w:rPr>
            </w:pP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(一)评审内容:工作措施、工作方法、工作手段、工作流程等方面。</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(二)评分标准:评审委员会根据上述要求对投标文件响应情况进行横向比较，分档打分。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工作措施、计划、工作方法、工作手段、工作流程、接口对接及对深圳市殡葬服务中心工作的认知和理解。对实施方案针对性和有效性，体系架构的完整性和合理性，根据招标文件的需求和投标文件响应情况进行评审。</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1.项目实施方案关于微信运营工作的流程全面、具体;</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2.项目实施方案针对微信运营内容有分发推广措施;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3.项目实施方案含舆情应对、危机公共措施;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4.项目实施方案内容可操作性强:</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5.项目实施方案中体现了技术支撑、运营服务的亮点。</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评分依据</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满足以上五项要求为优得满分，满足以上四项要求为良得9分，满足以上三项要求为中得6分，其他情况不得分。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hint="eastAsia" w:ascii="仿宋" w:hAnsi="仿宋" w:eastAsia="仿宋" w:cs="仿宋"/>
                <w:sz w:val="24"/>
                <w:szCs w:val="24"/>
                <w:lang w:val="en-US" w:eastAsia="zh-CN"/>
              </w:rPr>
            </w:pP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项目重点难点分析、应对措施及合理化建议</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评审内容:投标人需针对本项目重点和难点提供策划方案和应对措施。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1.项目重点和难点分析内容全面;</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2.策划方案和应对措施内容具体:</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3.策划方案和应对措施内容针对性强:</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4.策划方案和应对措施内容科学合理: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5.策划方案和应对措施内容可操作性强。</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满足以上五项要求为优得满分，满足以上四项要求为良得9分，满足以上三项要求为中得6分，其他情况不得分。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hint="eastAsia" w:ascii="仿宋" w:hAnsi="仿宋" w:eastAsia="仿宋" w:cs="仿宋"/>
                <w:sz w:val="24"/>
                <w:szCs w:val="24"/>
                <w:lang w:val="en-US" w:eastAsia="zh-CN"/>
              </w:rPr>
            </w:pP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质量(完成时间、安全)保障方案</w:t>
            </w:r>
          </w:p>
        </w:tc>
        <w:tc>
          <w:tcPr>
            <w:tcW w:w="483" w:type="dxa"/>
            <w:vAlign w:val="center"/>
          </w:tcPr>
          <w:p>
            <w:pPr>
              <w:spacing w:line="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评审内容:投标单位做出与本项目实际情况贴切的完成时间、增值服务等保障措施及方案。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1.组织管理科学合理: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2.符合项目实施进度要求: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3.对提交的研究成果质量控制标准明确、流程规范;</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4.提交的质量保障措施可操作性强。</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满足以上四项要求为优，得满分，满足以上三项要求为良，得3分，满足以上两项要求为中，得2分，其他情况不得分。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spacing w:line="0" w:lineRule="atLeast"/>
              <w:jc w:val="center"/>
              <w:rPr>
                <w:rFonts w:hint="eastAsia" w:asciiTheme="minorEastAsia" w:hAnsiTheme="minorEastAsia" w:eastAsiaTheme="minorEastAsia" w:cstheme="minorEastAsia"/>
                <w:sz w:val="21"/>
                <w:szCs w:val="21"/>
              </w:rPr>
            </w:pPr>
            <w:r>
              <w:rPr>
                <w:rFonts w:hint="eastAsia" w:ascii="仿宋" w:hAnsi="仿宋" w:eastAsia="仿宋" w:cs="仿宋"/>
                <w:sz w:val="24"/>
                <w:szCs w:val="24"/>
                <w:lang w:val="en-US" w:eastAsia="zh-CN"/>
              </w:rPr>
              <w:t>项目完成（服务期满)后的服务承诺</w:t>
            </w:r>
          </w:p>
        </w:tc>
        <w:tc>
          <w:tcPr>
            <w:tcW w:w="483" w:type="dxa"/>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由投标单位做出服务书面承诺。即对服务内容的保障。</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根据招标文件的需求和投标文件响应情况进行横向比较。评分标准: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1.是否满足招标文件要求;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2.保证措施是否合理且有针对性:</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3.是否有具体的违约责任承诺的。</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满足以上三项要求为优得满分，满足以上两项要求为良得3分，满足以上一项要求为中得2分，其他情况不得分。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spacing w:line="0" w:lineRule="atLeast"/>
              <w:jc w:val="center"/>
              <w:rPr>
                <w:rFonts w:ascii="仿宋" w:hAnsi="仿宋" w:eastAsia="仿宋" w:cs="仿宋"/>
                <w:sz w:val="24"/>
                <w:szCs w:val="24"/>
              </w:rPr>
            </w:pPr>
            <w:r>
              <w:rPr>
                <w:rFonts w:hint="eastAsia" w:ascii="仿宋" w:hAnsi="仿宋" w:eastAsia="仿宋" w:cs="仿宋"/>
                <w:sz w:val="24"/>
                <w:szCs w:val="24"/>
              </w:rPr>
              <w:t>履约承诺及违约责任</w:t>
            </w:r>
          </w:p>
        </w:tc>
        <w:tc>
          <w:tcPr>
            <w:tcW w:w="483" w:type="dxa"/>
            <w:vAlign w:val="center"/>
          </w:tcPr>
          <w:p>
            <w:pPr>
              <w:spacing w:line="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评审内容:投标人在方案中明确给出违约承诺(格式自拟)</w:t>
            </w:r>
          </w:p>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1.是否满足招标文件要求;</w:t>
            </w:r>
          </w:p>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2.承诺是否合理且有针对性:</w:t>
            </w:r>
          </w:p>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3.是否有具体的违约责任承诺的。</w:t>
            </w:r>
          </w:p>
          <w:p>
            <w:pPr>
              <w:spacing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满足以上三项要求为优得满分，满足以上两项要求为良得3分，满足以上一项要求为中得2分，其他情况不得分。</w:t>
            </w:r>
          </w:p>
        </w:tc>
        <w:tc>
          <w:tcPr>
            <w:tcW w:w="553" w:type="dxa"/>
            <w:vAlign w:val="center"/>
          </w:tcPr>
          <w:p>
            <w:pPr>
              <w:spacing w:line="0" w:lineRule="atLeast"/>
              <w:jc w:val="center"/>
              <w:rPr>
                <w:rFonts w:ascii="仿宋" w:hAnsi="仿宋" w:eastAsia="仿宋" w:cs="仿宋"/>
                <w:sz w:val="24"/>
                <w:szCs w:val="24"/>
              </w:rPr>
            </w:pPr>
          </w:p>
        </w:tc>
      </w:tr>
    </w:tbl>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F40A4"/>
    <w:rsid w:val="001D2F27"/>
    <w:rsid w:val="00277ED2"/>
    <w:rsid w:val="003129B5"/>
    <w:rsid w:val="00540B8F"/>
    <w:rsid w:val="005B4755"/>
    <w:rsid w:val="005B621D"/>
    <w:rsid w:val="006255B1"/>
    <w:rsid w:val="00635CB0"/>
    <w:rsid w:val="007A4F24"/>
    <w:rsid w:val="007C6D11"/>
    <w:rsid w:val="008E39BE"/>
    <w:rsid w:val="00916C66"/>
    <w:rsid w:val="009C4F66"/>
    <w:rsid w:val="00AD3D30"/>
    <w:rsid w:val="00B803A1"/>
    <w:rsid w:val="00BB553F"/>
    <w:rsid w:val="00C67A22"/>
    <w:rsid w:val="00D71BD6"/>
    <w:rsid w:val="00DA4F0F"/>
    <w:rsid w:val="00DF4FC1"/>
    <w:rsid w:val="00FD16A2"/>
    <w:rsid w:val="04B4134F"/>
    <w:rsid w:val="063D0403"/>
    <w:rsid w:val="083F4386"/>
    <w:rsid w:val="0D0B64D5"/>
    <w:rsid w:val="0D3D2312"/>
    <w:rsid w:val="124325D7"/>
    <w:rsid w:val="14357BF2"/>
    <w:rsid w:val="14605309"/>
    <w:rsid w:val="15FE3828"/>
    <w:rsid w:val="163E58B7"/>
    <w:rsid w:val="1A017584"/>
    <w:rsid w:val="1A4931BD"/>
    <w:rsid w:val="1CCC2C8B"/>
    <w:rsid w:val="1EEF2685"/>
    <w:rsid w:val="1FB416AE"/>
    <w:rsid w:val="216336B3"/>
    <w:rsid w:val="261B7EE3"/>
    <w:rsid w:val="267C4A79"/>
    <w:rsid w:val="291E7193"/>
    <w:rsid w:val="2AD362A9"/>
    <w:rsid w:val="2B8763F8"/>
    <w:rsid w:val="2D226BA9"/>
    <w:rsid w:val="2D5603D6"/>
    <w:rsid w:val="2EA87F74"/>
    <w:rsid w:val="30561118"/>
    <w:rsid w:val="314F4DB0"/>
    <w:rsid w:val="32B51553"/>
    <w:rsid w:val="35BE2978"/>
    <w:rsid w:val="3798207E"/>
    <w:rsid w:val="3816351F"/>
    <w:rsid w:val="38A20FC7"/>
    <w:rsid w:val="3B0431CA"/>
    <w:rsid w:val="3CD80B92"/>
    <w:rsid w:val="3E1A330A"/>
    <w:rsid w:val="41885C46"/>
    <w:rsid w:val="44867A82"/>
    <w:rsid w:val="45794C34"/>
    <w:rsid w:val="48F043FB"/>
    <w:rsid w:val="4A3574E5"/>
    <w:rsid w:val="4A5B2B44"/>
    <w:rsid w:val="4A6E13FD"/>
    <w:rsid w:val="4E686435"/>
    <w:rsid w:val="510420F9"/>
    <w:rsid w:val="545938B4"/>
    <w:rsid w:val="5471322A"/>
    <w:rsid w:val="58030F11"/>
    <w:rsid w:val="61893F9F"/>
    <w:rsid w:val="63127F35"/>
    <w:rsid w:val="688A5915"/>
    <w:rsid w:val="74E146AE"/>
    <w:rsid w:val="74E94DB6"/>
    <w:rsid w:val="77E04D6A"/>
    <w:rsid w:val="78CE1615"/>
    <w:rsid w:val="79584967"/>
    <w:rsid w:val="7DD724C8"/>
    <w:rsid w:val="7EBF3C63"/>
    <w:rsid w:val="7EC3582F"/>
    <w:rsid w:val="FEBD6264"/>
    <w:rsid w:val="FFF9A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heme="minorHAnsi" w:hAnsiTheme="minorHAnsi" w:eastAsiaTheme="minorEastAsia" w:cstheme="minorBidi"/>
      <w:kern w:val="2"/>
      <w:sz w:val="18"/>
      <w:szCs w:val="18"/>
    </w:rPr>
  </w:style>
  <w:style w:type="character" w:customStyle="1" w:styleId="10">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462</Words>
  <Characters>490</Characters>
  <Lines>3</Lines>
  <Paragraphs>1</Paragraphs>
  <TotalTime>9</TotalTime>
  <ScaleCrop>false</ScaleCrop>
  <LinksUpToDate>false</LinksUpToDate>
  <CharactersWithSpaces>490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2019-05-15T03:02:00Z</dcterms:created>
  <dc:creator>321</dc:creator>
  <cp:lastModifiedBy>市殡葬服务中心</cp:lastModifiedBy>
  <dcterms:modified xsi:type="dcterms:W3CDTF">2024-05-24T01:20:59Z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4064056C8C9A488DAFE948EE71B6E057</vt:lpwstr>
  </property>
</Properties>
</file>