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电动车采购项目需求书</w:t>
      </w:r>
    </w:p>
    <w:p>
      <w:pPr>
        <w:pStyle w:val="6"/>
        <w:keepNext w:val="0"/>
        <w:keepLines w:val="0"/>
        <w:pageBreakBefore w:val="0"/>
        <w:widowControl w:val="0"/>
        <w:kinsoku/>
        <w:wordWrap/>
        <w:overflowPunct/>
        <w:topLinePunct w:val="0"/>
        <w:autoSpaceDE/>
        <w:autoSpaceDN/>
        <w:bidi w:val="0"/>
        <w:adjustRightInd/>
        <w:spacing w:line="640" w:lineRule="exact"/>
        <w:ind w:firstLine="560" w:firstLineChars="200"/>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一、货物清单</w:t>
      </w:r>
    </w:p>
    <w:tbl>
      <w:tblPr>
        <w:tblStyle w:val="14"/>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060"/>
        <w:gridCol w:w="790"/>
        <w:gridCol w:w="2080"/>
        <w:gridCol w:w="135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1718" w:type="pct"/>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货物名称</w:t>
            </w:r>
          </w:p>
        </w:tc>
        <w:tc>
          <w:tcPr>
            <w:tcW w:w="443" w:type="pct"/>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数量</w:t>
            </w:r>
          </w:p>
        </w:tc>
        <w:tc>
          <w:tcPr>
            <w:tcW w:w="1167"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预算费用（元）</w:t>
            </w:r>
          </w:p>
        </w:tc>
        <w:tc>
          <w:tcPr>
            <w:tcW w:w="761"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技术要求</w:t>
            </w:r>
          </w:p>
        </w:tc>
        <w:tc>
          <w:tcPr>
            <w:tcW w:w="445" w:type="pct"/>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1</w:t>
            </w:r>
          </w:p>
        </w:tc>
        <w:tc>
          <w:tcPr>
            <w:tcW w:w="17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color w:val="auto"/>
                <w:sz w:val="28"/>
                <w:szCs w:val="28"/>
                <w:lang w:val="en-US" w:eastAsia="zh-CN"/>
              </w:rPr>
              <w:t>定制电瓶车</w:t>
            </w:r>
          </w:p>
        </w:tc>
        <w:tc>
          <w:tcPr>
            <w:tcW w:w="44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2辆</w:t>
            </w:r>
          </w:p>
        </w:tc>
        <w:tc>
          <w:tcPr>
            <w:tcW w:w="11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190000</w:t>
            </w:r>
          </w:p>
        </w:tc>
        <w:tc>
          <w:tcPr>
            <w:tcW w:w="761"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详见技术参数要求</w:t>
            </w:r>
          </w:p>
        </w:tc>
        <w:tc>
          <w:tcPr>
            <w:tcW w:w="445"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2</w:t>
            </w:r>
          </w:p>
        </w:tc>
        <w:tc>
          <w:tcPr>
            <w:tcW w:w="17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物料运输三轮电瓶车</w:t>
            </w:r>
          </w:p>
        </w:tc>
        <w:tc>
          <w:tcPr>
            <w:tcW w:w="44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1辆</w:t>
            </w:r>
          </w:p>
        </w:tc>
        <w:tc>
          <w:tcPr>
            <w:tcW w:w="11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6800</w:t>
            </w:r>
          </w:p>
        </w:tc>
        <w:tc>
          <w:tcPr>
            <w:tcW w:w="761"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44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8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合计</w:t>
            </w:r>
          </w:p>
        </w:tc>
        <w:tc>
          <w:tcPr>
            <w:tcW w:w="44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3辆</w:t>
            </w:r>
          </w:p>
        </w:tc>
        <w:tc>
          <w:tcPr>
            <w:tcW w:w="237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196800元</w:t>
            </w:r>
          </w:p>
        </w:tc>
      </w:tr>
    </w:tbl>
    <w:p>
      <w:pPr>
        <w:pStyle w:val="6"/>
        <w:keepNext w:val="0"/>
        <w:keepLines w:val="0"/>
        <w:pageBreakBefore w:val="0"/>
        <w:widowControl w:val="0"/>
        <w:kinsoku/>
        <w:wordWrap/>
        <w:overflowPunct/>
        <w:topLinePunct w:val="0"/>
        <w:autoSpaceDE/>
        <w:autoSpaceDN/>
        <w:bidi w:val="0"/>
        <w:adjustRightInd/>
        <w:spacing w:line="640" w:lineRule="exact"/>
        <w:ind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二、技术参数要求</w:t>
      </w:r>
    </w:p>
    <w:tbl>
      <w:tblPr>
        <w:tblStyle w:val="13"/>
        <w:tblW w:w="51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5"/>
        <w:gridCol w:w="3453"/>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序号</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主要配置说明</w:t>
            </w:r>
          </w:p>
        </w:tc>
        <w:tc>
          <w:tcPr>
            <w:tcW w:w="2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（一）定制电瓶车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3453"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rPr>
              <w:t>▲外型尺寸（mm）</w:t>
            </w:r>
          </w:p>
        </w:tc>
        <w:tc>
          <w:tcPr>
            <w:tcW w:w="4543"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highlight w:val="none"/>
              </w:rPr>
              <w:t>3</w:t>
            </w:r>
            <w:r>
              <w:rPr>
                <w:rFonts w:hint="eastAsia" w:ascii="方正仿宋_GBK" w:hAnsi="方正仿宋_GBK" w:eastAsia="方正仿宋_GBK" w:cs="方正仿宋_GBK"/>
                <w:b w:val="0"/>
                <w:bCs w:val="0"/>
                <w:color w:val="auto"/>
                <w:sz w:val="28"/>
                <w:szCs w:val="28"/>
                <w:highlight w:val="none"/>
                <w:lang w:val="en-US" w:eastAsia="zh-CN"/>
              </w:rPr>
              <w:t>60</w:t>
            </w:r>
            <w:r>
              <w:rPr>
                <w:rFonts w:hint="eastAsia" w:ascii="方正仿宋_GBK" w:hAnsi="方正仿宋_GBK" w:eastAsia="方正仿宋_GBK" w:cs="方正仿宋_GBK"/>
                <w:b w:val="0"/>
                <w:bCs w:val="0"/>
                <w:color w:val="auto"/>
                <w:sz w:val="28"/>
                <w:szCs w:val="28"/>
                <w:highlight w:val="none"/>
              </w:rPr>
              <w:t>0×1</w:t>
            </w:r>
            <w:r>
              <w:rPr>
                <w:rFonts w:hint="eastAsia" w:ascii="方正仿宋_GBK" w:hAnsi="方正仿宋_GBK" w:eastAsia="方正仿宋_GBK" w:cs="方正仿宋_GBK"/>
                <w:b w:val="0"/>
                <w:bCs w:val="0"/>
                <w:color w:val="auto"/>
                <w:sz w:val="28"/>
                <w:szCs w:val="28"/>
                <w:highlight w:val="none"/>
                <w:lang w:val="en-US" w:eastAsia="zh-CN"/>
              </w:rPr>
              <w:t>38</w:t>
            </w:r>
            <w:r>
              <w:rPr>
                <w:rFonts w:hint="eastAsia" w:ascii="方正仿宋_GBK" w:hAnsi="方正仿宋_GBK" w:eastAsia="方正仿宋_GBK" w:cs="方正仿宋_GBK"/>
                <w:b w:val="0"/>
                <w:bCs w:val="0"/>
                <w:color w:val="auto"/>
                <w:sz w:val="28"/>
                <w:szCs w:val="28"/>
                <w:highlight w:val="none"/>
              </w:rPr>
              <w:t>0×2050，（±10</w:t>
            </w:r>
            <w:r>
              <w:rPr>
                <w:rFonts w:hint="eastAsia" w:ascii="方正仿宋_GBK" w:hAnsi="方正仿宋_GBK" w:eastAsia="方正仿宋_GBK" w:cs="方正仿宋_GBK"/>
                <w:b w:val="0"/>
                <w:bCs w:val="0"/>
                <w:color w:val="auto"/>
                <w:sz w:val="28"/>
                <w:szCs w:val="28"/>
                <w:highlight w:val="none"/>
                <w:lang w:val="en-US" w:eastAsia="zh-CN"/>
              </w:rPr>
              <w:t>0</w:t>
            </w:r>
            <w:r>
              <w:rPr>
                <w:rFonts w:hint="default" w:ascii="方正仿宋_GBK" w:hAnsi="方正仿宋_GBK" w:eastAsia="方正仿宋_GBK" w:cs="方正仿宋_GBK"/>
                <w:b w:val="0"/>
                <w:bCs w:val="0"/>
                <w:color w:val="auto"/>
                <w:sz w:val="28"/>
                <w:szCs w:val="28"/>
                <w:highlight w:val="none"/>
                <w:lang w:val="en-US" w:eastAsia="zh-CN"/>
              </w:rPr>
              <w:t>mm</w:t>
            </w:r>
            <w:r>
              <w:rPr>
                <w:rFonts w:hint="eastAsia" w:ascii="方正仿宋_GBK" w:hAnsi="方正仿宋_GBK" w:eastAsia="方正仿宋_GBK" w:cs="方正仿宋_GBK"/>
                <w:b w:val="0"/>
                <w:bC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额定乘员（人）</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最高车速(km/h)（满载）</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最小转弯半径(m)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最大爬坡度%</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最大制动距离(m)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最大续驶里程（km）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最小离地间隙（mm）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6" w:type="dxa"/>
            <w:gridSpan w:val="2"/>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9</w:t>
            </w:r>
          </w:p>
        </w:tc>
        <w:tc>
          <w:tcPr>
            <w:tcW w:w="3453"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轴距(mm)</w:t>
            </w:r>
          </w:p>
        </w:tc>
        <w:tc>
          <w:tcPr>
            <w:tcW w:w="4543"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2000</w:t>
            </w:r>
            <w:r>
              <w:rPr>
                <w:rFonts w:hint="eastAsia" w:ascii="方正仿宋_GBK" w:hAnsi="方正仿宋_GBK" w:eastAsia="方正仿宋_GBK" w:cs="方正仿宋_GBK"/>
                <w:b w:val="0"/>
                <w:bCs w:val="0"/>
                <w:color w:val="auto"/>
                <w:sz w:val="28"/>
                <w:szCs w:val="28"/>
              </w:rPr>
              <w:t>（±10</w:t>
            </w:r>
            <w:r>
              <w:rPr>
                <w:rFonts w:hint="eastAsia" w:ascii="方正仿宋_GBK" w:hAnsi="方正仿宋_GBK" w:eastAsia="方正仿宋_GBK" w:cs="方正仿宋_GBK"/>
                <w:b w:val="0"/>
                <w:bCs w:val="0"/>
                <w:color w:val="auto"/>
                <w:sz w:val="28"/>
                <w:szCs w:val="28"/>
                <w:lang w:val="en-US" w:eastAsia="zh-CN"/>
              </w:rPr>
              <w:t>0</w:t>
            </w:r>
            <w:r>
              <w:rPr>
                <w:rFonts w:hint="default" w:ascii="方正仿宋_GBK" w:hAnsi="方正仿宋_GBK" w:eastAsia="方正仿宋_GBK" w:cs="方正仿宋_GBK"/>
                <w:b w:val="0"/>
                <w:bCs w:val="0"/>
                <w:color w:val="auto"/>
                <w:sz w:val="28"/>
                <w:szCs w:val="28"/>
                <w:lang w:val="en-US" w:eastAsia="zh-CN"/>
              </w:rPr>
              <w:t>mm</w:t>
            </w:r>
            <w:r>
              <w:rPr>
                <w:rFonts w:hint="eastAsia" w:ascii="方正仿宋_GBK" w:hAnsi="方正仿宋_GBK" w:eastAsia="方正仿宋_GBK" w:cs="方正仿宋_GBK"/>
                <w:b w:val="0"/>
                <w:bCs w:val="0"/>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轮距（mm）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1100（±50</w:t>
            </w:r>
            <w:r>
              <w:rPr>
                <w:rFonts w:hint="default" w:ascii="方正仿宋_GBK" w:hAnsi="方正仿宋_GBK" w:eastAsia="方正仿宋_GBK" w:cs="方正仿宋_GBK"/>
                <w:color w:val="auto"/>
                <w:sz w:val="28"/>
                <w:szCs w:val="28"/>
                <w:lang w:val="en-US" w:eastAsia="zh-CN"/>
              </w:rPr>
              <w:t>mm</w:t>
            </w:r>
            <w:r>
              <w:rPr>
                <w:rFonts w:hint="eastAsia" w:ascii="方正仿宋_GBK" w:hAnsi="方正仿宋_GBK" w:eastAsia="方正仿宋_GBK" w:cs="方正仿宋_GBK"/>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▲蓄电池</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≥72V/300Ah磷酸铁锂电池，提供由合法设立且具有颁发相关证书、出具报告资质的检测机构出具的检测合格报告扫描件，原件备查。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充电机</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全自动智能充电器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13</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▲控制器</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≥72V/450A交流控制器，电控起步平稳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14</w:t>
            </w:r>
          </w:p>
        </w:tc>
        <w:tc>
          <w:tcPr>
            <w:tcW w:w="3453"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▲牵引电机</w:t>
            </w:r>
          </w:p>
        </w:tc>
        <w:tc>
          <w:tcPr>
            <w:tcW w:w="4543"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≥72V/7.5KW交流电机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底盘</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底盘坚固实用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16</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▲转向系统</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双向齿轮齿条转向系统,自动间隙补偿功能、电动助力转向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17</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▲前悬挂</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独立悬挂+液压减震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18</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▲后悬挂</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整体式电动车专用后桥和钢板弹簧非独立悬挂，速比为16：1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19</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▲制动系统</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四轮液压刹车、四轮碟刹+电子刹车驻车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轮胎</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与电瓶车相适应的真空轮胎，铝合金轮毂，尺寸与整车相适应，配备4条备用轮胎及基础工具。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外观内饰</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油漆 全车采用汽车级油漆，电脑调漆，专用烤漆房喷涂。车辆颜色由中标方提供不少于3种颜色样板供采购方选择。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车体</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优质碳素矩形管焊接车架和玻璃钢车身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23</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座椅</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皮革面料+高回弹海绵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24</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前挡</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夹胶钢化玻璃、雨刮器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25</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仪表</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注塑成型仪表台，电锁开关、单臂组合开关、档位开关、电子手刹开关、水杯座；双USB电源、12V电源。液晶电动车组合仪表（含故障诊断信息显示）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26</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灯光及信号</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LED前组合灯(近光灯、远光灯、转向灯、日行灯、位置灯)、LED后尾灯(刹车灯、位置灯、倒车灯、转向灯)；蜗牛喇叭、倒车蜂鸣器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27</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开关</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钥匙开关、灯光及雨刮组合开关、前后换向开关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28</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音响</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MP3/USB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29</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★车厢及配套设施</w:t>
            </w:r>
          </w:p>
        </w:tc>
        <w:tc>
          <w:tcPr>
            <w:tcW w:w="2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（1）驾驶位置两座,有车门车窗；</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（2）后舱内宽为1350mm（±20），长度为2250mm（±50）。</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（3）后舱常规遗体转运运输舱铺设地板≥3mm304不锈钢板；运输舱内前端设置防撞胶；运输舱内底板面设有5组以上嵌入式滚动滑轮，滑轮在遗体推进到位时可自动锁住防滑，并设置手动解锁；</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（4）全封闭式不锈钢后舱尾部后双外开门；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（5）棺木固定装置采用活动可拆卸式JU304不锈钢结构；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（6）后舱底面平台离地高度比对接推车高2厘米左右，具体尺寸现勘为准；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(7)在指定位置安装充电桩两个（含线路铺设等一切所需零配件）；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（8）其他具体细节根据采购人实际需求实施改造。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30</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充电时间</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支持快充，≤5小时充满电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额定载重</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≥500KG</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（二）物料运输三轮电瓶车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1</w:t>
            </w:r>
          </w:p>
        </w:tc>
        <w:tc>
          <w:tcPr>
            <w:tcW w:w="345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color w:val="auto"/>
                <w:sz w:val="28"/>
                <w:szCs w:val="28"/>
                <w:lang w:val="en-US" w:eastAsia="zh-CN"/>
              </w:rPr>
              <w:t>★产品要求</w:t>
            </w:r>
          </w:p>
        </w:tc>
        <w:tc>
          <w:tcPr>
            <w:tcW w:w="45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color w:val="auto"/>
                <w:sz w:val="28"/>
                <w:szCs w:val="28"/>
                <w:lang w:val="en-US" w:eastAsia="zh-CN"/>
              </w:rPr>
              <w:t>整车生产符合新国标要求，具有3C标准认证，工信部备案、合格证、车辆一致认证等。提供相应证书扫描件，货物交付时提供相应证书原件或复印件。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val="en-US" w:eastAsia="zh-CN"/>
              </w:rPr>
              <w:t>2</w:t>
            </w:r>
          </w:p>
        </w:tc>
        <w:tc>
          <w:tcPr>
            <w:tcW w:w="1962"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车身尺寸</w:t>
            </w:r>
          </w:p>
        </w:tc>
        <w:tc>
          <w:tcPr>
            <w:tcW w:w="25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 xml:space="preserve">长宽高＞2800*1060*1695mm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w:t>
            </w:r>
          </w:p>
        </w:tc>
        <w:tc>
          <w:tcPr>
            <w:tcW w:w="1962"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货箱尺寸</w:t>
            </w:r>
          </w:p>
        </w:tc>
        <w:tc>
          <w:tcPr>
            <w:tcW w:w="25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长宽高＞1300*900*900mm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4</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驾</w:t>
            </w:r>
            <w:r>
              <w:rPr>
                <w:rFonts w:hint="eastAsia" w:ascii="方正仿宋_GBK" w:hAnsi="方正仿宋_GBK" w:eastAsia="方正仿宋_GBK" w:cs="方正仿宋_GBK"/>
                <w:b w:val="0"/>
                <w:bCs w:val="0"/>
                <w:color w:val="auto"/>
                <w:sz w:val="28"/>
                <w:szCs w:val="28"/>
              </w:rPr>
              <w:t>乘</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1</w:t>
            </w:r>
            <w:r>
              <w:rPr>
                <w:rFonts w:hint="eastAsia" w:ascii="方正仿宋_GBK" w:hAnsi="方正仿宋_GBK" w:eastAsia="方正仿宋_GBK" w:cs="方正仿宋_GBK"/>
                <w:b w:val="0"/>
                <w:bCs w:val="0"/>
                <w:color w:val="auto"/>
                <w:sz w:val="28"/>
                <w:szCs w:val="28"/>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5</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rPr>
              <w:t>续驶里程</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CN"/>
              </w:rPr>
              <w:t>60</w:t>
            </w:r>
            <w:r>
              <w:rPr>
                <w:rFonts w:hint="eastAsia" w:ascii="方正仿宋_GBK" w:hAnsi="方正仿宋_GBK" w:eastAsia="方正仿宋_GBK" w:cs="方正仿宋_GBK"/>
                <w:b w:val="0"/>
                <w:bCs w:val="0"/>
                <w:color w:val="auto"/>
                <w:sz w:val="28"/>
                <w:szCs w:val="28"/>
                <w:lang w:val="en-US"/>
              </w:rPr>
              <w:t>km</w:t>
            </w:r>
            <w:r>
              <w:rPr>
                <w:rFonts w:hint="eastAsia" w:ascii="方正仿宋_GBK" w:hAnsi="方正仿宋_GBK" w:eastAsia="方正仿宋_GBK" w:cs="方正仿宋_GBK"/>
                <w:b w:val="0"/>
                <w:bCs w:val="0"/>
                <w:color w:val="auto"/>
                <w:sz w:val="28"/>
                <w:szCs w:val="28"/>
              </w:rPr>
              <w:t>（满载平路）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6</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rPr>
              <w:t>最</w:t>
            </w:r>
            <w:r>
              <w:rPr>
                <w:rFonts w:hint="eastAsia" w:ascii="方正仿宋_GBK" w:hAnsi="方正仿宋_GBK" w:eastAsia="方正仿宋_GBK" w:cs="方正仿宋_GBK"/>
                <w:b w:val="0"/>
                <w:bCs w:val="0"/>
                <w:color w:val="auto"/>
                <w:sz w:val="28"/>
                <w:szCs w:val="28"/>
                <w:lang w:eastAsia="zh-CN"/>
              </w:rPr>
              <w:t>大行驶</w:t>
            </w:r>
            <w:r>
              <w:rPr>
                <w:rFonts w:hint="eastAsia" w:ascii="方正仿宋_GBK" w:hAnsi="方正仿宋_GBK" w:eastAsia="方正仿宋_GBK" w:cs="方正仿宋_GBK"/>
                <w:b w:val="0"/>
                <w:bCs w:val="0"/>
                <w:color w:val="auto"/>
                <w:sz w:val="28"/>
                <w:szCs w:val="28"/>
              </w:rPr>
              <w:t>速</w:t>
            </w:r>
            <w:r>
              <w:rPr>
                <w:rFonts w:hint="eastAsia" w:ascii="方正仿宋_GBK" w:hAnsi="方正仿宋_GBK" w:eastAsia="方正仿宋_GBK" w:cs="方正仿宋_GBK"/>
                <w:b w:val="0"/>
                <w:bCs w:val="0"/>
                <w:color w:val="auto"/>
                <w:sz w:val="28"/>
                <w:szCs w:val="28"/>
                <w:lang w:eastAsia="zh-CN"/>
              </w:rPr>
              <w:t>度</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w:t>
            </w:r>
            <w:r>
              <w:rPr>
                <w:rFonts w:hint="eastAsia" w:ascii="方正仿宋_GBK" w:hAnsi="方正仿宋_GBK" w:eastAsia="方正仿宋_GBK" w:cs="方正仿宋_GBK"/>
                <w:color w:val="auto"/>
                <w:sz w:val="28"/>
                <w:szCs w:val="28"/>
                <w:lang w:val="en-US"/>
              </w:rPr>
              <w:t>km</w:t>
            </w:r>
            <w:r>
              <w:rPr>
                <w:rFonts w:hint="eastAsia" w:ascii="方正仿宋_GBK" w:hAnsi="方正仿宋_GBK" w:eastAsia="方正仿宋_GBK" w:cs="方正仿宋_GBK"/>
                <w:color w:val="auto"/>
                <w:sz w:val="28"/>
                <w:szCs w:val="28"/>
                <w:lang w:val="en-US" w:eastAsia="zh-CN"/>
              </w:rPr>
              <w:t>/h</w:t>
            </w:r>
            <w:r>
              <w:rPr>
                <w:rFonts w:hint="eastAsia" w:ascii="方正仿宋_GBK" w:hAnsi="方正仿宋_GBK" w:eastAsia="方正仿宋_GBK" w:cs="方正仿宋_GBK"/>
                <w:b w:val="0"/>
                <w:bCs w:val="0"/>
                <w:color w:val="auto"/>
                <w:sz w:val="28"/>
                <w:szCs w:val="28"/>
                <w:lang w:val="en-US" w:eastAsia="zh-CN"/>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7</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装载重量</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＞150KG</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8</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车身颜色</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白色</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9</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电池</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铅酸电池＞48V</w:t>
            </w:r>
            <w:r>
              <w:rPr>
                <w:rFonts w:hint="eastAsia" w:ascii="方正仿宋_GBK" w:hAnsi="方正仿宋_GBK" w:eastAsia="方正仿宋_GBK" w:cs="方正仿宋_GBK"/>
                <w:color w:val="auto"/>
                <w:sz w:val="28"/>
                <w:szCs w:val="28"/>
                <w:lang w:eastAsia="zh-CN"/>
              </w:rPr>
              <w:t>符合新国标要求</w:t>
            </w:r>
            <w:r>
              <w:rPr>
                <w:rFonts w:hint="eastAsia" w:ascii="方正仿宋_GBK" w:hAnsi="方正仿宋_GBK" w:eastAsia="方正仿宋_GBK" w:cs="方正仿宋_GBK"/>
                <w:b w:val="0"/>
                <w:bCs w:val="0"/>
                <w:color w:val="auto"/>
                <w:sz w:val="28"/>
                <w:szCs w:val="28"/>
                <w:lang w:val="en-US" w:eastAsia="zh-CN"/>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10</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额定功率</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＞400W</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11</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控制系统</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多功能控制器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12</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充电机</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不需安装充电桩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sz w:val="28"/>
                <w:szCs w:val="28"/>
                <w:lang w:val="en-US" w:eastAsia="zh-CN"/>
              </w:rPr>
              <w:t>13</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充电时间</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＜10</w:t>
            </w:r>
            <w:r>
              <w:rPr>
                <w:rFonts w:hint="eastAsia" w:ascii="方正仿宋_GBK" w:hAnsi="方正仿宋_GBK" w:eastAsia="方正仿宋_GBK" w:cs="方正仿宋_GBK"/>
                <w:b w:val="0"/>
                <w:bCs w:val="0"/>
                <w:sz w:val="28"/>
                <w:szCs w:val="28"/>
              </w:rPr>
              <w:t>小时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刹车</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鼓刹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962"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车身</w:t>
            </w:r>
          </w:p>
        </w:tc>
        <w:tc>
          <w:tcPr>
            <w:tcW w:w="25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高强度结构、</w:t>
            </w:r>
            <w:r>
              <w:rPr>
                <w:rFonts w:hint="eastAsia" w:ascii="方正仿宋_GBK" w:hAnsi="方正仿宋_GBK" w:eastAsia="方正仿宋_GBK" w:cs="方正仿宋_GBK"/>
                <w:color w:val="auto"/>
                <w:sz w:val="28"/>
                <w:szCs w:val="28"/>
                <w:lang w:eastAsia="zh-CN"/>
              </w:rPr>
              <w:t>地板</w:t>
            </w:r>
            <w:r>
              <w:rPr>
                <w:rFonts w:hint="eastAsia" w:ascii="方正仿宋_GBK" w:hAnsi="方正仿宋_GBK" w:eastAsia="方正仿宋_GBK" w:cs="方正仿宋_GBK"/>
                <w:sz w:val="28"/>
                <w:szCs w:val="28"/>
                <w:lang w:eastAsia="zh-CN"/>
              </w:rPr>
              <w:t>防滑</w:t>
            </w:r>
            <w:r>
              <w:rPr>
                <w:rFonts w:hint="eastAsia" w:ascii="方正仿宋_GBK" w:hAnsi="方正仿宋_GBK" w:eastAsia="方正仿宋_GBK" w:cs="方正仿宋_GBK"/>
                <w:sz w:val="28"/>
                <w:szCs w:val="28"/>
                <w:lang w:val="en-US" w:eastAsia="zh-CN"/>
              </w:rPr>
              <w:t>；环保油漆；五片加宽钢板、带天窗风扇等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962"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座椅</w:t>
            </w:r>
          </w:p>
        </w:tc>
        <w:tc>
          <w:tcPr>
            <w:tcW w:w="25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软硬适中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1962"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减震系统</w:t>
            </w:r>
          </w:p>
        </w:tc>
        <w:tc>
          <w:tcPr>
            <w:tcW w:w="25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液压减震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货箱</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全封闭，金属材料，高强度，环保油漆； 有</w:t>
            </w:r>
            <w:r>
              <w:rPr>
                <w:rFonts w:hint="eastAsia" w:ascii="方正仿宋_GBK" w:hAnsi="方正仿宋_GBK" w:eastAsia="方正仿宋_GBK" w:cs="方正仿宋_GBK"/>
                <w:sz w:val="28"/>
                <w:szCs w:val="28"/>
                <w:lang w:val="en-US" w:eastAsia="zh-CN"/>
              </w:rPr>
              <w:t>防撞条、流水檐、踏板等，尾门双开或侧开门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仪表台</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液晶</w:t>
            </w:r>
            <w:r>
              <w:rPr>
                <w:rFonts w:hint="eastAsia" w:ascii="方正仿宋_GBK" w:hAnsi="方正仿宋_GBK" w:eastAsia="方正仿宋_GBK" w:cs="方正仿宋_GBK"/>
                <w:color w:val="auto"/>
                <w:sz w:val="28"/>
                <w:szCs w:val="28"/>
                <w:lang w:eastAsia="zh-CN"/>
              </w:rPr>
              <w:t>仪表</w:t>
            </w:r>
            <w:r>
              <w:rPr>
                <w:rFonts w:hint="eastAsia" w:ascii="方正仿宋_GBK" w:hAnsi="方正仿宋_GBK" w:eastAsia="方正仿宋_GBK" w:cs="方正仿宋_GBK"/>
                <w:color w:val="auto"/>
                <w:sz w:val="28"/>
                <w:szCs w:val="28"/>
                <w:lang w:val="en-US" w:eastAsia="zh-CN"/>
              </w:rPr>
              <w:t>显示器、转把加速器、前刹把、喇叭、收音机、前进后退开关、转向灯控制、电动雨刮器、大灯开关、顶灯开关、远近光灯切换开关、后视镜、电源开关、雨刮器开关等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后视镜</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左右各一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1962"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灯光及信号</w:t>
            </w:r>
          </w:p>
        </w:tc>
        <w:tc>
          <w:tcPr>
            <w:tcW w:w="25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前大</w:t>
            </w:r>
            <w:r>
              <w:rPr>
                <w:rFonts w:hint="eastAsia" w:ascii="方正仿宋_GBK" w:hAnsi="方正仿宋_GBK" w:eastAsia="方正仿宋_GBK" w:cs="方正仿宋_GBK"/>
                <w:sz w:val="28"/>
                <w:szCs w:val="28"/>
              </w:rPr>
              <w:t>灯、后尾灯</w:t>
            </w:r>
            <w:r>
              <w:rPr>
                <w:rFonts w:hint="eastAsia" w:ascii="方正仿宋_GBK" w:hAnsi="方正仿宋_GBK" w:eastAsia="方正仿宋_GBK" w:cs="方正仿宋_GBK"/>
                <w:sz w:val="28"/>
                <w:szCs w:val="28"/>
                <w:lang w:eastAsia="zh-CN"/>
              </w:rPr>
              <w:t>（刹车灯、位置灯、转向灯）</w:t>
            </w:r>
            <w:r>
              <w:rPr>
                <w:rFonts w:hint="eastAsia" w:ascii="方正仿宋_GBK" w:hAnsi="方正仿宋_GBK" w:eastAsia="方正仿宋_GBK" w:cs="方正仿宋_GBK"/>
                <w:sz w:val="28"/>
                <w:szCs w:val="28"/>
              </w:rPr>
              <w:t>、电喇叭</w:t>
            </w:r>
            <w:r>
              <w:rPr>
                <w:rFonts w:hint="eastAsia" w:ascii="方正仿宋_GBK" w:hAnsi="方正仿宋_GBK" w:eastAsia="方正仿宋_GBK" w:cs="方正仿宋_GBK"/>
                <w:sz w:val="28"/>
                <w:szCs w:val="28"/>
                <w:lang w:eastAsia="zh-CN"/>
              </w:rPr>
              <w:t>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96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前挡风玻璃</w:t>
            </w:r>
          </w:p>
        </w:tc>
        <w:tc>
          <w:tcPr>
            <w:tcW w:w="2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钢化前挡风玻璃+前雨刮器+防撞保险杠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196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轮胎</w:t>
            </w:r>
          </w:p>
        </w:tc>
        <w:tc>
          <w:tcPr>
            <w:tcW w:w="2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真空轮胎</w:t>
            </w:r>
          </w:p>
        </w:tc>
      </w:tr>
    </w:tbl>
    <w:p>
      <w:pPr>
        <w:keepNext w:val="0"/>
        <w:keepLines w:val="0"/>
        <w:pageBreakBefore w:val="0"/>
        <w:kinsoku/>
        <w:overflowPunct/>
        <w:topLinePunct w:val="0"/>
        <w:autoSpaceDE/>
        <w:autoSpaceDN/>
        <w:bidi w:val="0"/>
        <w:adjustRightInd/>
        <w:spacing w:line="420" w:lineRule="exact"/>
        <w:ind w:firstLine="562"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bCs/>
          <w:color w:val="FF0000"/>
          <w:sz w:val="28"/>
          <w:szCs w:val="28"/>
          <w:lang w:val="en-US" w:eastAsia="zh-CN"/>
        </w:rPr>
        <w:t>备注：</w:t>
      </w:r>
      <w:r>
        <w:rPr>
          <w:rFonts w:hint="eastAsia" w:ascii="方正仿宋_GBK" w:hAnsi="方正仿宋_GBK" w:eastAsia="方正仿宋_GBK" w:cs="方正仿宋_GBK"/>
          <w:b/>
          <w:bCs/>
          <w:color w:val="FF0000"/>
          <w:sz w:val="28"/>
          <w:szCs w:val="28"/>
        </w:rPr>
        <w:t>带★号条款为不可偏离条款，如未响应或者出现负偏离的，将作投标无效处理；带“▲”指标项为重要参数条款，负偏离时依相关评分准则内容作重点扣分处理。</w:t>
      </w:r>
    </w:p>
    <w:p>
      <w:pPr>
        <w:pStyle w:val="7"/>
        <w:keepNext w:val="0"/>
        <w:keepLines w:val="0"/>
        <w:pageBreakBefore w:val="0"/>
        <w:numPr>
          <w:ilvl w:val="0"/>
          <w:numId w:val="0"/>
        </w:numPr>
        <w:kinsoku/>
        <w:overflowPunct/>
        <w:topLinePunct w:val="0"/>
        <w:autoSpaceDE/>
        <w:autoSpaceDN/>
        <w:bidi w:val="0"/>
        <w:adjustRightInd/>
        <w:spacing w:line="420" w:lineRule="exact"/>
        <w:ind w:left="630" w:leftChars="0"/>
        <w:jc w:val="left"/>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三、商务要求</w:t>
      </w:r>
    </w:p>
    <w:tbl>
      <w:tblPr>
        <w:tblStyle w:val="13"/>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451"/>
        <w:gridCol w:w="4493"/>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bCs w:val="0"/>
                <w:kern w:val="2"/>
                <w:sz w:val="28"/>
                <w:szCs w:val="28"/>
                <w:lang w:eastAsia="zh-CN"/>
              </w:rPr>
              <w:t>序号</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bCs w:val="0"/>
                <w:kern w:val="2"/>
                <w:sz w:val="28"/>
                <w:szCs w:val="28"/>
                <w:lang w:eastAsia="zh-CN"/>
              </w:rPr>
              <w:t>商务要求项</w:t>
            </w:r>
          </w:p>
        </w:tc>
        <w:tc>
          <w:tcPr>
            <w:tcW w:w="258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trHeight w:val="437" w:hRule="atLeast"/>
          <w:jc w:val="center"/>
        </w:trPr>
        <w:tc>
          <w:tcPr>
            <w:tcW w:w="4985"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sz w:val="28"/>
                <w:szCs w:val="28"/>
                <w:lang w:val="en-US" w:eastAsia="zh-CN"/>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val="0"/>
                <w:bCs/>
                <w:kern w:val="2"/>
                <w:sz w:val="28"/>
                <w:szCs w:val="28"/>
                <w:lang w:eastAsia="zh-CN"/>
              </w:rPr>
              <w:t>关于免费保修期</w:t>
            </w:r>
          </w:p>
        </w:tc>
        <w:tc>
          <w:tcPr>
            <w:tcW w:w="2581"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bCs/>
                <w:color w:val="auto"/>
                <w:sz w:val="28"/>
                <w:szCs w:val="28"/>
                <w:lang w:val="en-US" w:eastAsia="zh-CN"/>
              </w:rPr>
              <w:t>免费质保期：定制电瓶车</w:t>
            </w:r>
            <w:r>
              <w:rPr>
                <w:rFonts w:hint="eastAsia" w:ascii="方正仿宋_GBK" w:hAnsi="方正仿宋_GBK" w:eastAsia="方正仿宋_GBK" w:cs="方正仿宋_GBK"/>
                <w:bCs/>
                <w:color w:val="auto"/>
                <w:sz w:val="28"/>
                <w:szCs w:val="28"/>
              </w:rPr>
              <w:t>整车质保</w:t>
            </w:r>
            <w:r>
              <w:rPr>
                <w:rFonts w:hint="eastAsia" w:ascii="方正仿宋_GBK" w:hAnsi="方正仿宋_GBK" w:eastAsia="方正仿宋_GBK" w:cs="方正仿宋_GBK"/>
                <w:bCs/>
                <w:color w:val="auto"/>
                <w:sz w:val="28"/>
                <w:szCs w:val="28"/>
                <w:lang w:eastAsia="zh-CN"/>
              </w:rPr>
              <w:t>期</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
                <w:bCs w:val="0"/>
                <w:color w:val="auto"/>
                <w:sz w:val="28"/>
                <w:szCs w:val="28"/>
                <w:lang w:val="en-US" w:eastAsia="zh-CN"/>
              </w:rPr>
              <w:t>3</w:t>
            </w:r>
            <w:r>
              <w:rPr>
                <w:rFonts w:hint="eastAsia" w:ascii="方正仿宋_GBK" w:hAnsi="方正仿宋_GBK" w:eastAsia="方正仿宋_GBK" w:cs="方正仿宋_GBK"/>
                <w:bCs/>
                <w:color w:val="auto"/>
                <w:sz w:val="28"/>
                <w:szCs w:val="28"/>
              </w:rPr>
              <w:t>年、电池质保</w:t>
            </w:r>
            <w:r>
              <w:rPr>
                <w:rFonts w:hint="eastAsia" w:ascii="方正仿宋_GBK" w:hAnsi="方正仿宋_GBK" w:eastAsia="方正仿宋_GBK" w:cs="方正仿宋_GBK"/>
                <w:bCs/>
                <w:color w:val="auto"/>
                <w:sz w:val="28"/>
                <w:szCs w:val="28"/>
                <w:lang w:eastAsia="zh-CN"/>
              </w:rPr>
              <w:t>期</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
                <w:color w:val="auto"/>
                <w:sz w:val="28"/>
                <w:szCs w:val="28"/>
              </w:rPr>
              <w:t>5</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lang w:val="en-US" w:eastAsia="zh-CN"/>
              </w:rPr>
              <w:t>物料运输三轮电瓶车整车质保期</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
                <w:bCs w:val="0"/>
                <w:color w:val="auto"/>
                <w:sz w:val="28"/>
                <w:szCs w:val="28"/>
                <w:lang w:val="en-US" w:eastAsia="zh-CN"/>
              </w:rPr>
              <w:t>1</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eastAsia="zh-CN"/>
              </w:rPr>
              <w:t>。质保期内车架、电池、电机、电控、后桥等整车和车辆关键零部件、易损耗件中标人免费无条件包修包换,并提供常规保养。质保期后中标人须保证以合理的价格提供备件和保养服务，终身有偿服务。</w:t>
            </w:r>
          </w:p>
          <w:p>
            <w:pPr>
              <w:pStyle w:val="6"/>
              <w:keepNext w:val="0"/>
              <w:keepLines w:val="0"/>
              <w:pageBreakBefore w:val="0"/>
              <w:numPr>
                <w:ilvl w:val="0"/>
                <w:numId w:val="0"/>
              </w:numPr>
              <w:kinsoku/>
              <w:overflowPunct/>
              <w:topLinePunct w:val="0"/>
              <w:autoSpaceDE/>
              <w:autoSpaceDN/>
              <w:bidi w:val="0"/>
              <w:adjustRightInd/>
              <w:spacing w:line="420" w:lineRule="exact"/>
              <w:textAlignment w:val="auto"/>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bCs/>
                <w:color w:val="auto"/>
                <w:sz w:val="28"/>
                <w:szCs w:val="28"/>
                <w:lang w:eastAsia="zh-CN"/>
              </w:rPr>
              <w:t>响应时间：中标人向采购人提供</w:t>
            </w:r>
            <w:r>
              <w:rPr>
                <w:rFonts w:hint="eastAsia" w:ascii="方正仿宋_GBK" w:hAnsi="方正仿宋_GBK" w:eastAsia="方正仿宋_GBK" w:cs="方正仿宋_GBK"/>
                <w:bCs/>
                <w:color w:val="auto"/>
                <w:sz w:val="28"/>
                <w:szCs w:val="28"/>
                <w:lang w:val="en-US" w:eastAsia="zh-CN"/>
              </w:rPr>
              <w:t>24小时电话响应服务；服务及维修响应时间为1小时内，8-24小时内抵达现场，一般故障在12小时内维修完毕，特殊故障不超过24小时。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sz w:val="28"/>
                <w:szCs w:val="28"/>
                <w:lang w:val="en-US" w:eastAsia="zh-CN"/>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报价要求</w:t>
            </w:r>
          </w:p>
        </w:tc>
        <w:tc>
          <w:tcPr>
            <w:tcW w:w="2581"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rPr>
              <w:t>分项报价，不得超过预算费用，投标</w:t>
            </w:r>
            <w:r>
              <w:rPr>
                <w:rFonts w:hint="eastAsia" w:ascii="方正仿宋_GBK" w:hAnsi="方正仿宋_GBK" w:eastAsia="方正仿宋_GBK" w:cs="方正仿宋_GBK"/>
                <w:kern w:val="2"/>
                <w:sz w:val="28"/>
                <w:szCs w:val="28"/>
              </w:rPr>
              <w:t>总价必须是完成该项目的一切费用总和，包括设备费、运输费、装卸费、技术培训费、设备安装费、调试费、售后服务费、国家规定的各项税费等全部费用。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2</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交货地点</w:t>
            </w:r>
          </w:p>
        </w:tc>
        <w:tc>
          <w:tcPr>
            <w:tcW w:w="2581"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3</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交货期</w:t>
            </w:r>
            <w:r>
              <w:rPr>
                <w:rFonts w:hint="eastAsia" w:ascii="方正仿宋_GBK" w:hAnsi="方正仿宋_GBK" w:eastAsia="方正仿宋_GBK" w:cs="方正仿宋_GBK"/>
                <w:b w:val="0"/>
                <w:bCs/>
                <w:kern w:val="2"/>
                <w:sz w:val="28"/>
                <w:szCs w:val="28"/>
                <w:lang w:eastAsia="zh-CN"/>
              </w:rPr>
              <w:t>限</w:t>
            </w:r>
          </w:p>
        </w:tc>
        <w:tc>
          <w:tcPr>
            <w:tcW w:w="2581"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u w:val="single"/>
              </w:rPr>
              <w:t>合同签订后</w:t>
            </w:r>
            <w:r>
              <w:rPr>
                <w:rFonts w:hint="eastAsia" w:ascii="方正仿宋_GBK" w:hAnsi="方正仿宋_GBK" w:eastAsia="方正仿宋_GBK" w:cs="方正仿宋_GBK"/>
                <w:kern w:val="2"/>
                <w:sz w:val="28"/>
                <w:szCs w:val="28"/>
                <w:u w:val="single"/>
                <w:lang w:val="en-US" w:eastAsia="zh-CN"/>
              </w:rPr>
              <w:t>30</w:t>
            </w:r>
            <w:r>
              <w:rPr>
                <w:rFonts w:hint="eastAsia" w:ascii="方正仿宋_GBK" w:hAnsi="方正仿宋_GBK" w:eastAsia="方正仿宋_GBK" w:cs="方正仿宋_GBK"/>
                <w:kern w:val="2"/>
                <w:sz w:val="28"/>
                <w:szCs w:val="28"/>
                <w:u w:val="single"/>
              </w:rPr>
              <w:t>天（日历</w:t>
            </w:r>
            <w:r>
              <w:rPr>
                <w:rFonts w:hint="eastAsia" w:ascii="方正仿宋_GBK" w:hAnsi="方正仿宋_GBK" w:eastAsia="方正仿宋_GBK" w:cs="方正仿宋_GBK"/>
                <w:kern w:val="2"/>
                <w:sz w:val="28"/>
                <w:szCs w:val="28"/>
              </w:rPr>
              <w:t>日）内完成交车及验收。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4</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付款方式</w:t>
            </w:r>
          </w:p>
        </w:tc>
        <w:tc>
          <w:tcPr>
            <w:tcW w:w="2581"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全部货物</w:t>
            </w:r>
            <w:r>
              <w:rPr>
                <w:rFonts w:hint="eastAsia" w:ascii="方正仿宋_GBK" w:hAnsi="方正仿宋_GBK" w:eastAsia="方正仿宋_GBK" w:cs="方正仿宋_GBK"/>
                <w:kern w:val="2"/>
                <w:sz w:val="28"/>
                <w:szCs w:val="28"/>
                <w:lang w:val="en-US" w:eastAsia="zh-CN"/>
              </w:rPr>
              <w:t>（包括车辆、充电器、随车工具、安全链条、说明书、合格证、产品责任险保单等。）</w:t>
            </w:r>
            <w:r>
              <w:rPr>
                <w:rFonts w:hint="eastAsia" w:ascii="方正仿宋_GBK" w:hAnsi="方正仿宋_GBK" w:eastAsia="方正仿宋_GBK" w:cs="方正仿宋_GBK"/>
                <w:kern w:val="2"/>
                <w:sz w:val="28"/>
                <w:szCs w:val="28"/>
              </w:rPr>
              <w:t>送到采购人指定地点、完成安装并验收合格，中标人需向采购人提交发票</w:t>
            </w: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13增值税票</w:t>
            </w: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rPr>
              <w:t>、销售合同等付款凭证后，采购人在1</w:t>
            </w:r>
            <w:r>
              <w:rPr>
                <w:rFonts w:hint="eastAsia" w:ascii="方正仿宋_GBK" w:hAnsi="方正仿宋_GBK" w:eastAsia="方正仿宋_GBK" w:cs="方正仿宋_GBK"/>
                <w:kern w:val="2"/>
                <w:sz w:val="28"/>
                <w:szCs w:val="28"/>
                <w:lang w:val="en-US" w:eastAsia="zh-CN"/>
              </w:rPr>
              <w:t>5</w:t>
            </w:r>
            <w:r>
              <w:rPr>
                <w:rFonts w:hint="eastAsia" w:ascii="方正仿宋_GBK" w:hAnsi="方正仿宋_GBK" w:eastAsia="方正仿宋_GBK" w:cs="方正仿宋_GBK"/>
                <w:kern w:val="2"/>
                <w:sz w:val="28"/>
                <w:szCs w:val="28"/>
              </w:rPr>
              <w:t>个工作日内，向中标人支付合同总价【100】%的款项。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5</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验收方式</w:t>
            </w:r>
          </w:p>
        </w:tc>
        <w:tc>
          <w:tcPr>
            <w:tcW w:w="2581"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采购人对中标供应商提交的货物依据采购文件上的技术规格要求和国家有关质量标准进行现场初步验收，符合采购文件技术要求的，给予签收；不符合采购文件所列的技术及质量参数要求视为验收不合格，不予签收验收，所产生的后果由中标供应商负责。货到后，采购人应当在到货（安装、调试完）后3个工作日内进行验收。</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中标</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交货前应对产品作出全面检查和对验收文件进行整理，并列出清单，作为采购人收货验收和使用的技术条件依据，检验的结果应随货物交采购人。</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采购人对中标</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提供的货物在使用前进行调试时，中标</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需负责安装并培训</w:t>
            </w:r>
            <w:r>
              <w:rPr>
                <w:rFonts w:hint="eastAsia" w:ascii="方正仿宋_GBK" w:hAnsi="方正仿宋_GBK" w:eastAsia="方正仿宋_GBK" w:cs="方正仿宋_GBK"/>
                <w:sz w:val="28"/>
                <w:szCs w:val="28"/>
                <w:lang w:eastAsia="zh-CN"/>
              </w:rPr>
              <w:t>采购人</w:t>
            </w:r>
            <w:r>
              <w:rPr>
                <w:rFonts w:hint="eastAsia" w:ascii="方正仿宋_GBK" w:hAnsi="方正仿宋_GBK" w:eastAsia="方正仿宋_GBK" w:cs="方正仿宋_GBK"/>
                <w:sz w:val="28"/>
                <w:szCs w:val="28"/>
              </w:rPr>
              <w:t>的使用操作人员，</w:t>
            </w:r>
            <w:r>
              <w:rPr>
                <w:rFonts w:hint="eastAsia" w:ascii="方正仿宋_GBK" w:hAnsi="方正仿宋_GBK" w:eastAsia="方正仿宋_GBK" w:cs="方正仿宋_GBK"/>
                <w:bCs/>
                <w:kern w:val="2"/>
                <w:sz w:val="28"/>
                <w:szCs w:val="28"/>
              </w:rPr>
              <w:t>保证采购人员能够熟练掌握各种设备等常规使用方法，以及小故障的判断与解决。</w:t>
            </w:r>
            <w:r>
              <w:rPr>
                <w:rFonts w:hint="eastAsia" w:ascii="方正仿宋_GBK" w:hAnsi="方正仿宋_GBK" w:eastAsia="方正仿宋_GBK" w:cs="方正仿宋_GBK"/>
                <w:sz w:val="28"/>
                <w:szCs w:val="28"/>
              </w:rPr>
              <w:t>并协助采购人一起调试，直到符合技术要求，采购人才做最终验收。</w:t>
            </w:r>
          </w:p>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验收时中标供应商必须在现场，验收完毕后作出验收结果报告；</w:t>
            </w:r>
            <w:r>
              <w:rPr>
                <w:rFonts w:hint="eastAsia" w:ascii="方正仿宋_GBK" w:hAnsi="方正仿宋_GBK" w:eastAsia="方正仿宋_GBK" w:cs="方正仿宋_GBK"/>
                <w:sz w:val="28"/>
                <w:szCs w:val="28"/>
                <w:lang w:eastAsia="zh-CN"/>
              </w:rPr>
              <w:t>若需由专业机构配合</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费用由中标供应商负责。</w:t>
            </w:r>
          </w:p>
          <w:p>
            <w:pPr>
              <w:pStyle w:val="2"/>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bCs/>
                <w:kern w:val="2"/>
                <w:sz w:val="28"/>
                <w:szCs w:val="28"/>
                <w:lang w:eastAsia="zh-CN"/>
              </w:rPr>
              <w:t>中标人</w:t>
            </w:r>
            <w:r>
              <w:rPr>
                <w:rFonts w:hint="eastAsia" w:ascii="方正仿宋_GBK" w:hAnsi="方正仿宋_GBK" w:eastAsia="方正仿宋_GBK" w:cs="方正仿宋_GBK"/>
                <w:bCs/>
                <w:kern w:val="2"/>
                <w:sz w:val="28"/>
                <w:szCs w:val="28"/>
              </w:rPr>
              <w:t>提供制造商出具的产品说明书、彩页、照片（扫描件）。中标后提供所投产品相关合格证明材料。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6</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违约责任</w:t>
            </w:r>
          </w:p>
        </w:tc>
        <w:tc>
          <w:tcPr>
            <w:tcW w:w="2581"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bCs/>
                <w:kern w:val="2"/>
                <w:sz w:val="28"/>
                <w:szCs w:val="28"/>
                <w:lang w:val="en-US" w:eastAsia="zh-CN"/>
              </w:rPr>
              <w:t>合同生效后，中标人逾期交付货物，应向采购人每天支付合同总金额千分之三的违约金。如中标人超过供货期10天仍未供货，采购人有权解除合同，并要求中标人承担违约责任。验收合格后，采购人逾期付款，应向中标人每天支付合同总金额千分之三的违约金。</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bCs/>
                <w:kern w:val="2"/>
                <w:sz w:val="28"/>
                <w:szCs w:val="28"/>
                <w:lang w:val="en-US" w:eastAsia="zh-CN"/>
              </w:rPr>
              <w:t>中标人所交付的货物质量不符合同规定标准、国家安全标准和采购人要求，采购人有权拒收或要求中标人更换货物。中标人不能交货或者不能按合同提供技术服务或者单方面终止合同，采购人可主张中标人向采购人支付不超过合同总金额百分之三十的续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bCs/>
                <w:kern w:val="2"/>
                <w:sz w:val="28"/>
                <w:szCs w:val="28"/>
                <w:lang w:val="en-US" w:eastAsia="zh-CN"/>
              </w:rPr>
              <w:t>中标人交付的货物在采购人验收人员在验收时无法肉眼现场发现的质量问题，包括但不限于货物技术质量问题、使用后才能发现的问题、专业仪器检测才能发现的问题、假冒产品经原厂或专业部门检测后发现的问题等，采购人有权在质保期内向中标人主张退货或者换货，采购人可主张中标人向采购人支付不超过合同总价百分之二十的违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bCs/>
                <w:kern w:val="2"/>
                <w:sz w:val="28"/>
                <w:szCs w:val="28"/>
                <w:lang w:val="en-US" w:eastAsia="zh-CN"/>
              </w:rPr>
              <w:t>若因不可抗力因素（包括但不限台风、雷暴等自然灾害，政府部门政策调整、运输意外交通事故等其它因素）造成逾期交货的，中标人应及时书面告知采购人，双方均无权立即终止项目合同，采购人视情况决定是否同意延长一定期限的交货时间。若采购人同意延长交货，中标人仍无法在延长后的期限内交货的，采购人有权解除本项目合同；若因采购人原因造成中标人逾期交货的，中标人不承担因此而产生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7</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争议的解决</w:t>
            </w:r>
          </w:p>
        </w:tc>
        <w:tc>
          <w:tcPr>
            <w:tcW w:w="2581" w:type="pct"/>
            <w:gridSpan w:val="2"/>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凡因执行本项目合同所发生的或者与本项目合同有关的一切争议，双方应通过友好协商解决。</w:t>
            </w:r>
          </w:p>
          <w:p>
            <w:pPr>
              <w:keepNext w:val="0"/>
              <w:keepLines w:val="0"/>
              <w:pageBreakBefore w:val="0"/>
              <w:kinsoku/>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kern w:val="2"/>
                <w:sz w:val="28"/>
                <w:szCs w:val="28"/>
                <w:lang w:val="en-US" w:eastAsia="zh-CN" w:bidi="ar-SA"/>
              </w:rPr>
              <w:t>协商不成时，双方均有权向深圳市龙岗区人民法院提起诉讼。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8</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签订合同</w:t>
            </w:r>
          </w:p>
        </w:tc>
        <w:tc>
          <w:tcPr>
            <w:tcW w:w="2581"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color w:val="auto"/>
                <w:kern w:val="2"/>
                <w:sz w:val="28"/>
                <w:szCs w:val="28"/>
                <w:lang w:val="en-US" w:eastAsia="zh-CN" w:bidi="ar-SA"/>
              </w:rPr>
            </w:pPr>
            <w:r>
              <w:rPr>
                <w:rFonts w:hint="eastAsia" w:ascii="方正仿宋_GBK" w:hAnsi="方正仿宋_GBK" w:eastAsia="方正仿宋_GBK" w:cs="方正仿宋_GBK"/>
                <w:bCs/>
                <w:color w:val="auto"/>
                <w:kern w:val="2"/>
                <w:sz w:val="28"/>
                <w:szCs w:val="28"/>
                <w:lang w:val="en-US" w:eastAsia="zh-CN" w:bidi="ar-SA"/>
              </w:rPr>
              <w:t>中标人须按中标通知书规定的时间、地点与采购人办理合同签订事宜。</w:t>
            </w:r>
          </w:p>
          <w:p>
            <w:pPr>
              <w:pStyle w:val="9"/>
              <w:keepNext w:val="0"/>
              <w:keepLines w:val="0"/>
              <w:pageBreakBefore w:val="0"/>
              <w:kinsoku/>
              <w:overflowPunct/>
              <w:topLinePunct w:val="0"/>
              <w:autoSpaceDE/>
              <w:autoSpaceDN/>
              <w:bidi w:val="0"/>
              <w:adjustRightInd/>
              <w:snapToGrid/>
              <w:spacing w:line="420" w:lineRule="exact"/>
              <w:ind w:left="0" w:leftChars="0" w:firstLine="0" w:firstLineChars="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color w:val="auto"/>
                <w:kern w:val="2"/>
                <w:sz w:val="28"/>
                <w:szCs w:val="28"/>
                <w:lang w:val="en-US" w:eastAsia="zh-CN" w:bidi="ar-SA"/>
              </w:rPr>
              <w:t>中标人若不按规定时间、地点与采购人办理合同签订事宜，采购人可取消其中标资格。给采购人造成的损失，还应当予以赔偿并承担相应法律责任。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9</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0"/>
                <w:sz w:val="28"/>
                <w:szCs w:val="28"/>
              </w:rPr>
              <w:t>合同解除</w:t>
            </w:r>
          </w:p>
        </w:tc>
        <w:tc>
          <w:tcPr>
            <w:tcW w:w="2581"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有下列情形之一的，双方可以解除合同：</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color w:val="000000"/>
                <w:sz w:val="28"/>
                <w:szCs w:val="28"/>
              </w:rPr>
              <w:t>因不可抗力致使不能实现合同目的；</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color w:val="000000"/>
                <w:sz w:val="28"/>
                <w:szCs w:val="28"/>
              </w:rPr>
              <w:t>由于中标人的原因未能在本合同约定的交货期或者工期交货或者移交的，逾期超过 15 个日历日仍不能交货或者移交的；中标人所交付的产品品种、型号、规格、质量不符合同规定标准的，并经过15个日历日整改仍不达标的，采购人有权解除合同并要求中标人承担相应的违约责任及由此给采购人造成的其他经济损失；</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10</w:t>
            </w:r>
          </w:p>
        </w:tc>
        <w:tc>
          <w:tcPr>
            <w:tcW w:w="19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其它</w:t>
            </w:r>
          </w:p>
        </w:tc>
        <w:tc>
          <w:tcPr>
            <w:tcW w:w="2581" w:type="pct"/>
            <w:gridSpan w:val="2"/>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sz w:val="28"/>
                <w:szCs w:val="28"/>
                <w:lang w:val="en-US" w:eastAsia="zh-CN"/>
              </w:rPr>
              <w:t>定</w:t>
            </w:r>
            <w:r>
              <w:rPr>
                <w:rFonts w:hint="eastAsia" w:ascii="方正仿宋_GBK" w:hAnsi="方正仿宋_GBK" w:eastAsia="方正仿宋_GBK" w:cs="方正仿宋_GBK"/>
                <w:bCs/>
                <w:kern w:val="2"/>
                <w:sz w:val="28"/>
                <w:szCs w:val="28"/>
                <w:lang w:val="en-US" w:eastAsia="zh-CN" w:bidi="ar-SA"/>
              </w:rPr>
              <w:t>制遗体转运电动车提供：</w:t>
            </w:r>
          </w:p>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（1）中标人提供投标产品整车国家级检测报告和型式试验证书。</w:t>
            </w:r>
          </w:p>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（2）提供座椅国家强制检验报告。</w:t>
            </w:r>
          </w:p>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（3）提供电机、电控、电池强制检测报告。</w:t>
            </w:r>
          </w:p>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封闭式三轮电动货车：</w:t>
            </w:r>
          </w:p>
          <w:p>
            <w:pPr>
              <w:pStyle w:val="16"/>
              <w:keepNext w:val="0"/>
              <w:keepLines w:val="0"/>
              <w:pageBreakBefore w:val="0"/>
              <w:kinsoku/>
              <w:overflowPunct/>
              <w:topLinePunct w:val="0"/>
              <w:autoSpaceDE/>
              <w:autoSpaceDN/>
              <w:bidi w:val="0"/>
              <w:adjustRightInd/>
              <w:snapToGrid/>
              <w:spacing w:line="420" w:lineRule="exact"/>
              <w:jc w:val="left"/>
              <w:textAlignment w:val="auto"/>
              <w:rPr>
                <w:rFonts w:hint="default"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符合新国标要求，提供3C标准认证，工信部备案资料、合格证、车辆一致认证书等。</w:t>
            </w:r>
          </w:p>
          <w:p>
            <w:pPr>
              <w:pStyle w:val="2"/>
              <w:rPr>
                <w:rFonts w:hint="eastAsia"/>
                <w:lang w:val="en-US" w:eastAsia="zh-CN"/>
              </w:rPr>
            </w:pPr>
          </w:p>
        </w:tc>
      </w:tr>
    </w:tbl>
    <w:p>
      <w:pPr>
        <w:keepNext w:val="0"/>
        <w:keepLines w:val="0"/>
        <w:pageBreakBefore w:val="0"/>
        <w:numPr>
          <w:ilvl w:val="0"/>
          <w:numId w:val="0"/>
        </w:numPr>
        <w:kinsoku/>
        <w:overflowPunct/>
        <w:topLinePunct w:val="0"/>
        <w:autoSpaceDE/>
        <w:autoSpaceDN/>
        <w:bidi w:val="0"/>
        <w:adjustRightInd/>
        <w:spacing w:line="420" w:lineRule="exact"/>
        <w:ind w:firstLine="640" w:firstLineChars="200"/>
        <w:textAlignment w:val="auto"/>
        <w:rPr>
          <w:rFonts w:hint="eastAsia" w:ascii="黑体" w:hAnsi="黑体" w:eastAsia="黑体" w:cs="黑体"/>
          <w:b w:val="0"/>
          <w:bCs/>
          <w:color w:val="auto"/>
          <w:sz w:val="32"/>
          <w:szCs w:val="32"/>
          <w:lang w:eastAsia="zh-CN"/>
        </w:rPr>
      </w:pPr>
    </w:p>
    <w:p>
      <w:pPr>
        <w:pStyle w:val="7"/>
        <w:keepNext w:val="0"/>
        <w:keepLines w:val="0"/>
        <w:pageBreakBefore w:val="0"/>
        <w:numPr>
          <w:ilvl w:val="0"/>
          <w:numId w:val="0"/>
        </w:numPr>
        <w:kinsoku/>
        <w:overflowPunct/>
        <w:topLinePunct w:val="0"/>
        <w:autoSpaceDE/>
        <w:autoSpaceDN/>
        <w:bidi w:val="0"/>
        <w:adjustRightInd/>
        <w:spacing w:line="4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技术要求</w:t>
      </w:r>
      <w:r>
        <w:rPr>
          <w:rFonts w:hint="eastAsia" w:ascii="方正小标宋简体" w:hAnsi="方正小标宋简体" w:eastAsia="方正小标宋简体" w:cs="方正小标宋简体"/>
          <w:b w:val="0"/>
          <w:bCs w:val="0"/>
          <w:sz w:val="32"/>
          <w:szCs w:val="32"/>
        </w:rPr>
        <w:t>偏离表</w:t>
      </w:r>
    </w:p>
    <w:tbl>
      <w:tblPr>
        <w:tblStyle w:val="13"/>
        <w:tblW w:w="5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520"/>
        <w:gridCol w:w="7"/>
        <w:gridCol w:w="2152"/>
        <w:gridCol w:w="3206"/>
        <w:gridCol w:w="1433"/>
        <w:gridCol w:w="87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84" w:hRule="atLeast"/>
          <w:jc w:val="center"/>
        </w:trPr>
        <w:tc>
          <w:tcPr>
            <w:tcW w:w="4999" w:type="pct"/>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（一）定制电瓶车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84"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序号</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主要配置说明</w:t>
            </w:r>
          </w:p>
        </w:tc>
        <w:tc>
          <w:tcPr>
            <w:tcW w:w="17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招标技术要求</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投标技术响应</w:t>
            </w:r>
          </w:p>
        </w:tc>
        <w:tc>
          <w:tcPr>
            <w:tcW w:w="47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偏离情况</w:t>
            </w:r>
          </w:p>
        </w:tc>
        <w:tc>
          <w:tcPr>
            <w:tcW w:w="55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6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rPr>
              <w:t>▲外型尺寸（mm）</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3</w:t>
            </w:r>
            <w:r>
              <w:rPr>
                <w:rFonts w:hint="eastAsia" w:ascii="方正仿宋_GBK" w:hAnsi="方正仿宋_GBK" w:eastAsia="方正仿宋_GBK" w:cs="方正仿宋_GBK"/>
                <w:b w:val="0"/>
                <w:bCs w:val="0"/>
                <w:color w:val="auto"/>
                <w:sz w:val="28"/>
                <w:szCs w:val="28"/>
                <w:highlight w:val="none"/>
                <w:lang w:val="en-US" w:eastAsia="zh-CN"/>
              </w:rPr>
              <w:t>60</w:t>
            </w:r>
            <w:r>
              <w:rPr>
                <w:rFonts w:hint="eastAsia" w:ascii="方正仿宋_GBK" w:hAnsi="方正仿宋_GBK" w:eastAsia="方正仿宋_GBK" w:cs="方正仿宋_GBK"/>
                <w:b w:val="0"/>
                <w:bCs w:val="0"/>
                <w:color w:val="auto"/>
                <w:sz w:val="28"/>
                <w:szCs w:val="28"/>
                <w:highlight w:val="none"/>
              </w:rPr>
              <w:t>0×1</w:t>
            </w:r>
            <w:r>
              <w:rPr>
                <w:rFonts w:hint="eastAsia" w:ascii="方正仿宋_GBK" w:hAnsi="方正仿宋_GBK" w:eastAsia="方正仿宋_GBK" w:cs="方正仿宋_GBK"/>
                <w:b w:val="0"/>
                <w:bCs w:val="0"/>
                <w:color w:val="auto"/>
                <w:sz w:val="28"/>
                <w:szCs w:val="28"/>
                <w:highlight w:val="none"/>
                <w:lang w:val="en-US" w:eastAsia="zh-CN"/>
              </w:rPr>
              <w:t>38</w:t>
            </w:r>
            <w:r>
              <w:rPr>
                <w:rFonts w:hint="eastAsia" w:ascii="方正仿宋_GBK" w:hAnsi="方正仿宋_GBK" w:eastAsia="方正仿宋_GBK" w:cs="方正仿宋_GBK"/>
                <w:b w:val="0"/>
                <w:bCs w:val="0"/>
                <w:color w:val="auto"/>
                <w:sz w:val="28"/>
                <w:szCs w:val="28"/>
                <w:highlight w:val="none"/>
              </w:rPr>
              <w:t>0×2050，</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color w:val="auto"/>
                <w:sz w:val="28"/>
                <w:szCs w:val="28"/>
                <w:highlight w:val="none"/>
              </w:rPr>
              <w:t>（±10</w:t>
            </w:r>
            <w:r>
              <w:rPr>
                <w:rFonts w:hint="eastAsia" w:ascii="方正仿宋_GBK" w:hAnsi="方正仿宋_GBK" w:eastAsia="方正仿宋_GBK" w:cs="方正仿宋_GBK"/>
                <w:b w:val="0"/>
                <w:bCs w:val="0"/>
                <w:color w:val="auto"/>
                <w:sz w:val="28"/>
                <w:szCs w:val="28"/>
                <w:highlight w:val="none"/>
                <w:lang w:val="en-US" w:eastAsia="zh-CN"/>
              </w:rPr>
              <w:t>0</w:t>
            </w:r>
            <w:r>
              <w:rPr>
                <w:rFonts w:hint="default" w:ascii="方正仿宋_GBK" w:hAnsi="方正仿宋_GBK" w:eastAsia="方正仿宋_GBK" w:cs="方正仿宋_GBK"/>
                <w:b w:val="0"/>
                <w:bCs w:val="0"/>
                <w:color w:val="auto"/>
                <w:sz w:val="28"/>
                <w:szCs w:val="28"/>
                <w:highlight w:val="none"/>
                <w:lang w:val="en-US" w:eastAsia="zh-CN"/>
              </w:rPr>
              <w:t>mm</w:t>
            </w:r>
            <w:r>
              <w:rPr>
                <w:rFonts w:hint="eastAsia" w:ascii="方正仿宋_GBK" w:hAnsi="方正仿宋_GBK" w:eastAsia="方正仿宋_GBK" w:cs="方正仿宋_GBK"/>
                <w:b w:val="0"/>
                <w:bCs w:val="0"/>
                <w:color w:val="auto"/>
                <w:sz w:val="28"/>
                <w:szCs w:val="28"/>
                <w:highlight w:val="none"/>
              </w:rPr>
              <w:t>）</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额定乘员（人）</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2人</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最高车速(km/h)（满载）</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最小转弯半径(m)</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最大爬坡度%</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最大制动距离(m)</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最大续驶里程（km）</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最小离地间隙（mm）</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≥130</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轴距(mm)</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2000</w:t>
            </w:r>
            <w:r>
              <w:rPr>
                <w:rFonts w:hint="eastAsia" w:ascii="方正仿宋_GBK" w:hAnsi="方正仿宋_GBK" w:eastAsia="方正仿宋_GBK" w:cs="方正仿宋_GBK"/>
                <w:sz w:val="28"/>
                <w:szCs w:val="28"/>
                <w:lang w:val="en-US" w:eastAsia="zh-CN"/>
              </w:rPr>
              <w:t>（±100</w:t>
            </w:r>
            <w:r>
              <w:rPr>
                <w:rFonts w:hint="default" w:ascii="方正仿宋_GBK" w:hAnsi="方正仿宋_GBK" w:eastAsia="方正仿宋_GBK" w:cs="方正仿宋_GBK"/>
                <w:sz w:val="28"/>
                <w:szCs w:val="28"/>
                <w:lang w:val="en-US" w:eastAsia="zh-CN"/>
              </w:rPr>
              <w:t>mm</w:t>
            </w:r>
            <w:r>
              <w:rPr>
                <w:rFonts w:hint="eastAsia" w:ascii="方正仿宋_GBK" w:hAnsi="方正仿宋_GBK" w:eastAsia="方正仿宋_GBK" w:cs="方正仿宋_GBK"/>
                <w:sz w:val="28"/>
                <w:szCs w:val="28"/>
                <w:lang w:val="en-US" w:eastAsia="zh-CN"/>
              </w:rPr>
              <w:t>）</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轮距（mm）</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1100（±50</w:t>
            </w:r>
            <w:r>
              <w:rPr>
                <w:rFonts w:hint="default" w:ascii="方正仿宋_GBK" w:hAnsi="方正仿宋_GBK" w:eastAsia="方正仿宋_GBK" w:cs="方正仿宋_GBK"/>
                <w:sz w:val="28"/>
                <w:szCs w:val="28"/>
                <w:lang w:val="en-US" w:eastAsia="zh-CN"/>
              </w:rPr>
              <w:t>mm</w:t>
            </w:r>
            <w:r>
              <w:rPr>
                <w:rFonts w:hint="eastAsia" w:ascii="方正仿宋_GBK" w:hAnsi="方正仿宋_GBK" w:eastAsia="方正仿宋_GBK" w:cs="方正仿宋_GBK"/>
                <w:sz w:val="28"/>
                <w:szCs w:val="28"/>
                <w:lang w:val="en-US" w:eastAsia="zh-CN"/>
              </w:rPr>
              <w:t>）</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▲蓄电池</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≥72V/300Ah</w:t>
            </w:r>
            <w:r>
              <w:rPr>
                <w:rFonts w:hint="eastAsia" w:ascii="方正仿宋_GBK" w:hAnsi="方正仿宋_GBK" w:eastAsia="方正仿宋_GBK" w:cs="方正仿宋_GBK"/>
                <w:sz w:val="28"/>
                <w:szCs w:val="28"/>
                <w:lang w:val="en-US" w:eastAsia="zh-CN"/>
              </w:rPr>
              <w:t>磷酸铁锂电池，提供由合法设立且具有颁发相关证书、出具报告资质的检测机构出具的检测合格报告扫描件，原件备查。</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充电机</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全自动智能充电器</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▲控制器</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≥72V/450A交流控制器，电控起步平稳</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21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rPr>
              <w:t>▲牵引电机</w:t>
            </w:r>
          </w:p>
        </w:tc>
        <w:tc>
          <w:tcPr>
            <w:tcW w:w="320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≥72V/7.5KW交流电机</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底盘</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底盘坚固实用</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▲转向系统</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双向齿轮齿条转向系统,自动间隙补偿功能、电动助力转向</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▲前悬挂</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独立悬挂+液压减震</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▲后悬挂</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整体式电动车专用后桥和钢板弹簧非独立悬挂，速比为16：1</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▲制动系统</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四轮液压刹车、四轮碟刹+电子刹车驻车</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轮胎</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与电瓶车相适应的真空轮胎，铝合金轮毂，尺寸与整车相适应，配备4条备用轮胎及基础工具。</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外观内饰</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油漆 全车采用汽车级油漆，电脑调漆，专用烤漆房喷涂。车辆颜色由中标方提供不少于3种颜色样板供采购方选择。</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车体</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优质碳素矩形管焊接车架和玻璃钢车身</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座椅</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皮革面料+高回弹海绵</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前挡</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夹胶钢化玻璃、雨刮器</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仪表</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注塑成型仪表台，电锁开关、单臂组合开关、档位开关、电子手刹开关、水杯座；双USB电源、12V电源。液晶电动车组合仪表（含故障诊断信息显示）</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灯光及信号</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LED前组合灯(近光灯、远光灯、转向灯、日行灯、位置灯)、LED后尾灯(刹车灯、位置灯、倒车灯、转向灯)；蜗牛喇叭、倒车蜂鸣器</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开关</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钥匙开关、灯光及雨刮组合开关、前后换向开关</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音响</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MP3/USB</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29</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★车厢及配套设施</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（1）驾驶位置两座,有车门车窗；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（2）后舱内宽为1350mm（±20），长度为2250mm（±50）。</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（3）后舱常规遗体转运运输舱铺设地板≥3mm304不锈钢板；运输舱内前端设置防撞胶；运输舱内底板面设有5组以上嵌入式滚动滑轮，滑轮在遗体推进到位时可自动锁住防滑，并设置手动解锁；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（4）全封闭式不锈钢后舱尾部后双外开门；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（5）棺木固定装置采用活动可拆卸式JU304不锈钢结构；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（6）后舱底面平台离地高度比对接推车高2厘米左右，具体尺寸现勘为准；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在指定位置安装充电桩两个（含线路铺设等一切所需零配件）；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（8）其他具体细节根据采购人实际需求实施改造。</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充电时间</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支持快充，≤5小时充满电</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额定载重</w:t>
            </w:r>
          </w:p>
        </w:tc>
        <w:tc>
          <w:tcPr>
            <w:tcW w:w="1738"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w:t>
            </w:r>
            <w:r>
              <w:rPr>
                <w:rFonts w:hint="default" w:ascii="方正仿宋_GBK" w:hAnsi="方正仿宋_GBK" w:eastAsia="方正仿宋_GBK" w:cs="方正仿宋_GBK"/>
                <w:sz w:val="28"/>
                <w:szCs w:val="28"/>
                <w:lang w:val="en-US" w:eastAsia="zh-CN"/>
              </w:rPr>
              <w:t>KG</w:t>
            </w:r>
          </w:p>
        </w:tc>
        <w:tc>
          <w:tcPr>
            <w:tcW w:w="7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sz w:val="28"/>
                <w:szCs w:val="28"/>
                <w:lang w:val="en-US" w:eastAsia="zh-CN"/>
              </w:rPr>
            </w:pPr>
            <w:r>
              <w:rPr>
                <w:rFonts w:hint="eastAsia" w:ascii="方正楷体_GBK" w:hAnsi="方正楷体_GBK" w:eastAsia="方正楷体_GBK" w:cs="方正楷体_GBK"/>
                <w:sz w:val="28"/>
                <w:szCs w:val="28"/>
                <w:lang w:val="en-US" w:eastAsia="zh-CN"/>
              </w:rPr>
              <w:t>二、</w:t>
            </w:r>
            <w:r>
              <w:rPr>
                <w:rFonts w:hint="eastAsia" w:ascii="方正仿宋_GBK" w:hAnsi="方正仿宋_GBK" w:eastAsia="方正仿宋_GBK" w:cs="方正仿宋_GBK"/>
                <w:b/>
                <w:bCs/>
                <w:sz w:val="28"/>
                <w:szCs w:val="28"/>
                <w:lang w:val="en-US" w:eastAsia="zh-CN"/>
              </w:rPr>
              <w:t>物料运输三轮电瓶车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val="en-US" w:eastAsia="zh-CN"/>
              </w:rPr>
              <w:t>序号</w:t>
            </w:r>
          </w:p>
        </w:tc>
        <w:tc>
          <w:tcPr>
            <w:tcW w:w="1170"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val="en-US" w:eastAsia="zh-CN"/>
              </w:rPr>
              <w:t>主要配置说明</w:t>
            </w:r>
          </w:p>
        </w:tc>
        <w:tc>
          <w:tcPr>
            <w:tcW w:w="173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bCs/>
                <w:sz w:val="28"/>
                <w:szCs w:val="28"/>
                <w:lang w:val="en-US" w:eastAsia="zh-CN"/>
              </w:rPr>
              <w:t>招标技术要求</w:t>
            </w:r>
          </w:p>
        </w:tc>
        <w:tc>
          <w:tcPr>
            <w:tcW w:w="7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投标技术响应</w:t>
            </w:r>
          </w:p>
        </w:tc>
        <w:tc>
          <w:tcPr>
            <w:tcW w:w="475"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偏离情况</w:t>
            </w:r>
          </w:p>
        </w:tc>
        <w:tc>
          <w:tcPr>
            <w:tcW w:w="55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w:t>
            </w:r>
          </w:p>
        </w:tc>
        <w:tc>
          <w:tcPr>
            <w:tcW w:w="1170"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sz w:val="28"/>
                <w:szCs w:val="28"/>
                <w:lang w:val="en-US" w:eastAsia="zh-CN"/>
              </w:rPr>
              <w:t>★产品要求</w:t>
            </w:r>
          </w:p>
        </w:tc>
        <w:tc>
          <w:tcPr>
            <w:tcW w:w="173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sz w:val="28"/>
                <w:szCs w:val="28"/>
                <w:lang w:val="en-US" w:eastAsia="zh-CN"/>
              </w:rPr>
              <w:t>整车生产符合新国标要求，具有3C标准认证，工信部备案、合格证、车辆一致认证等。提供相应证书扫描件，货物交付时提供相应证书原件或复印件。</w:t>
            </w:r>
          </w:p>
        </w:tc>
        <w:tc>
          <w:tcPr>
            <w:tcW w:w="7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val="en-US" w:eastAsia="zh-CN"/>
              </w:rPr>
              <w:t>2</w:t>
            </w:r>
          </w:p>
        </w:tc>
        <w:tc>
          <w:tcPr>
            <w:tcW w:w="1170"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车身尺寸</w:t>
            </w:r>
          </w:p>
        </w:tc>
        <w:tc>
          <w:tcPr>
            <w:tcW w:w="173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长宽高</w:t>
            </w:r>
            <w:r>
              <w:rPr>
                <w:rFonts w:hint="eastAsia" w:ascii="方正仿宋_GBK" w:hAnsi="方正仿宋_GBK" w:eastAsia="方正仿宋_GBK" w:cs="方正仿宋_GBK"/>
                <w:b w:val="0"/>
                <w:bCs w:val="0"/>
                <w:sz w:val="28"/>
                <w:szCs w:val="28"/>
                <w:lang w:val="en-US" w:eastAsia="zh-CN"/>
              </w:rPr>
              <w:t>＞2800</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sz w:val="28"/>
                <w:szCs w:val="28"/>
                <w:lang w:val="en-US" w:eastAsia="zh-CN"/>
              </w:rPr>
              <w:t>1060*1695</w:t>
            </w:r>
            <w:r>
              <w:rPr>
                <w:rFonts w:hint="eastAsia" w:ascii="方正仿宋_GBK" w:hAnsi="方正仿宋_GBK" w:eastAsia="方正仿宋_GBK" w:cs="方正仿宋_GBK"/>
                <w:b w:val="0"/>
                <w:bCs w:val="0"/>
                <w:color w:val="auto"/>
                <w:sz w:val="28"/>
                <w:szCs w:val="28"/>
                <w:lang w:val="en-US" w:eastAsia="zh-CN"/>
              </w:rPr>
              <w:t xml:space="preserve">mm             </w:t>
            </w:r>
          </w:p>
        </w:tc>
        <w:tc>
          <w:tcPr>
            <w:tcW w:w="7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w:t>
            </w:r>
          </w:p>
        </w:tc>
        <w:tc>
          <w:tcPr>
            <w:tcW w:w="1170"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货箱尺寸</w:t>
            </w:r>
          </w:p>
        </w:tc>
        <w:tc>
          <w:tcPr>
            <w:tcW w:w="173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长宽高</w:t>
            </w:r>
            <w:r>
              <w:rPr>
                <w:rFonts w:hint="eastAsia" w:ascii="方正仿宋_GBK" w:hAnsi="方正仿宋_GBK" w:eastAsia="方正仿宋_GBK" w:cs="方正仿宋_GBK"/>
                <w:b w:val="0"/>
                <w:bCs w:val="0"/>
                <w:sz w:val="28"/>
                <w:szCs w:val="28"/>
                <w:lang w:val="en-US" w:eastAsia="zh-CN"/>
              </w:rPr>
              <w:t>＞1300</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sz w:val="28"/>
                <w:szCs w:val="28"/>
                <w:lang w:val="en-US" w:eastAsia="zh-CN"/>
              </w:rPr>
              <w:t>900*900</w:t>
            </w:r>
            <w:r>
              <w:rPr>
                <w:rFonts w:hint="eastAsia" w:ascii="方正仿宋_GBK" w:hAnsi="方正仿宋_GBK" w:eastAsia="方正仿宋_GBK" w:cs="方正仿宋_GBK"/>
                <w:b w:val="0"/>
                <w:bCs w:val="0"/>
                <w:color w:val="auto"/>
                <w:sz w:val="28"/>
                <w:szCs w:val="28"/>
                <w:lang w:val="en-US" w:eastAsia="zh-CN"/>
              </w:rPr>
              <w:t>mm</w:t>
            </w:r>
          </w:p>
        </w:tc>
        <w:tc>
          <w:tcPr>
            <w:tcW w:w="7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驾</w:t>
            </w:r>
            <w:r>
              <w:rPr>
                <w:rFonts w:hint="eastAsia" w:ascii="方正仿宋_GBK" w:hAnsi="方正仿宋_GBK" w:eastAsia="方正仿宋_GBK" w:cs="方正仿宋_GBK"/>
                <w:b w:val="0"/>
                <w:bCs w:val="0"/>
                <w:sz w:val="28"/>
                <w:szCs w:val="28"/>
              </w:rPr>
              <w:t>乘</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sz w:val="28"/>
                <w:szCs w:val="28"/>
                <w:lang w:val="en-US" w:eastAsia="zh-CN"/>
              </w:rPr>
              <w:t>1</w:t>
            </w:r>
            <w:r>
              <w:rPr>
                <w:rFonts w:hint="eastAsia" w:ascii="方正仿宋_GBK" w:hAnsi="方正仿宋_GBK" w:eastAsia="方正仿宋_GBK" w:cs="方正仿宋_GBK"/>
                <w:b w:val="0"/>
                <w:bCs w:val="0"/>
                <w:sz w:val="28"/>
                <w:szCs w:val="28"/>
              </w:rPr>
              <w:t>人</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续驶里程</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b w:val="0"/>
                <w:bCs w:val="0"/>
                <w:sz w:val="28"/>
                <w:szCs w:val="28"/>
                <w:lang w:val="en-US" w:eastAsia="zh-CN"/>
              </w:rPr>
              <w:t>60</w:t>
            </w:r>
            <w:r>
              <w:rPr>
                <w:rFonts w:hint="eastAsia" w:ascii="方正仿宋_GBK" w:hAnsi="方正仿宋_GBK" w:eastAsia="方正仿宋_GBK" w:cs="方正仿宋_GBK"/>
                <w:b w:val="0"/>
                <w:bCs w:val="0"/>
                <w:sz w:val="28"/>
                <w:szCs w:val="28"/>
                <w:lang w:val="en-US"/>
              </w:rPr>
              <w:t>km</w:t>
            </w:r>
            <w:r>
              <w:rPr>
                <w:rFonts w:hint="eastAsia" w:ascii="方正仿宋_GBK" w:hAnsi="方正仿宋_GBK" w:eastAsia="方正仿宋_GBK" w:cs="方正仿宋_GBK"/>
                <w:b w:val="0"/>
                <w:bCs w:val="0"/>
                <w:sz w:val="28"/>
                <w:szCs w:val="28"/>
              </w:rPr>
              <w:t>（满载平路）</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最</w:t>
            </w:r>
            <w:r>
              <w:rPr>
                <w:rFonts w:hint="eastAsia" w:ascii="方正仿宋_GBK" w:hAnsi="方正仿宋_GBK" w:eastAsia="方正仿宋_GBK" w:cs="方正仿宋_GBK"/>
                <w:b w:val="0"/>
                <w:bCs w:val="0"/>
                <w:sz w:val="28"/>
                <w:szCs w:val="28"/>
                <w:lang w:eastAsia="zh-CN"/>
              </w:rPr>
              <w:t>大行驶</w:t>
            </w:r>
            <w:r>
              <w:rPr>
                <w:rFonts w:hint="eastAsia" w:ascii="方正仿宋_GBK" w:hAnsi="方正仿宋_GBK" w:eastAsia="方正仿宋_GBK" w:cs="方正仿宋_GBK"/>
                <w:b w:val="0"/>
                <w:bCs w:val="0"/>
                <w:sz w:val="28"/>
                <w:szCs w:val="28"/>
              </w:rPr>
              <w:t>速</w:t>
            </w:r>
            <w:r>
              <w:rPr>
                <w:rFonts w:hint="eastAsia" w:ascii="方正仿宋_GBK" w:hAnsi="方正仿宋_GBK" w:eastAsia="方正仿宋_GBK" w:cs="方正仿宋_GBK"/>
                <w:b w:val="0"/>
                <w:bCs w:val="0"/>
                <w:sz w:val="28"/>
                <w:szCs w:val="28"/>
                <w:lang w:eastAsia="zh-CN"/>
              </w:rPr>
              <w:t>度</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lang w:val="en-US"/>
              </w:rPr>
              <w:t>km</w:t>
            </w:r>
            <w:r>
              <w:rPr>
                <w:rFonts w:hint="eastAsia" w:ascii="方正仿宋_GBK" w:hAnsi="方正仿宋_GBK" w:eastAsia="方正仿宋_GBK" w:cs="方正仿宋_GBK"/>
                <w:sz w:val="28"/>
                <w:szCs w:val="28"/>
                <w:lang w:val="en-US" w:eastAsia="zh-CN"/>
              </w:rPr>
              <w:t>/h</w:t>
            </w:r>
            <w:r>
              <w:rPr>
                <w:rFonts w:hint="eastAsia" w:ascii="方正仿宋_GBK" w:hAnsi="方正仿宋_GBK" w:eastAsia="方正仿宋_GBK" w:cs="方正仿宋_GBK"/>
                <w:b w:val="0"/>
                <w:bCs w:val="0"/>
                <w:color w:val="auto"/>
                <w:sz w:val="28"/>
                <w:szCs w:val="28"/>
                <w:lang w:val="en-US" w:eastAsia="zh-CN"/>
              </w:rPr>
              <w:t xml:space="preserve">  </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7</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装载重量</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sz w:val="28"/>
                <w:szCs w:val="28"/>
                <w:lang w:val="en-US" w:eastAsia="zh-CN"/>
              </w:rPr>
              <w:t>＞150KG</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8</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车身颜色</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白色</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9</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电池</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铅酸电池＞48V</w:t>
            </w:r>
            <w:r>
              <w:rPr>
                <w:rFonts w:hint="eastAsia" w:ascii="方正仿宋_GBK" w:hAnsi="方正仿宋_GBK" w:eastAsia="方正仿宋_GBK" w:cs="方正仿宋_GBK"/>
                <w:color w:val="auto"/>
                <w:sz w:val="28"/>
                <w:szCs w:val="28"/>
                <w:lang w:eastAsia="zh-CN"/>
              </w:rPr>
              <w:t>符合新国标要求</w:t>
            </w:r>
            <w:r>
              <w:rPr>
                <w:rFonts w:hint="eastAsia" w:ascii="方正仿宋_GBK" w:hAnsi="方正仿宋_GBK" w:eastAsia="方正仿宋_GBK" w:cs="方正仿宋_GBK"/>
                <w:b w:val="0"/>
                <w:bCs w:val="0"/>
                <w:color w:val="auto"/>
                <w:sz w:val="28"/>
                <w:szCs w:val="28"/>
                <w:lang w:val="en-US" w:eastAsia="zh-CN"/>
              </w:rPr>
              <w:t xml:space="preserve">  </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10</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额定功率</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＞400W</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11</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控制系统</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多功能控制器</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12</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充电机</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不需安装充电桩</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sz w:val="28"/>
                <w:szCs w:val="28"/>
                <w:lang w:val="en-US" w:eastAsia="zh-CN"/>
              </w:rPr>
              <w:t>13</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充电时间</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＜10</w:t>
            </w:r>
            <w:r>
              <w:rPr>
                <w:rFonts w:hint="eastAsia" w:ascii="方正仿宋_GBK" w:hAnsi="方正仿宋_GBK" w:eastAsia="方正仿宋_GBK" w:cs="方正仿宋_GBK"/>
                <w:b w:val="0"/>
                <w:bCs w:val="0"/>
                <w:sz w:val="28"/>
                <w:szCs w:val="28"/>
              </w:rPr>
              <w:t>小时</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刹车</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鼓刹</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车身</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高强度结构、</w:t>
            </w:r>
            <w:r>
              <w:rPr>
                <w:rFonts w:hint="eastAsia" w:ascii="方正仿宋_GBK" w:hAnsi="方正仿宋_GBK" w:eastAsia="方正仿宋_GBK" w:cs="方正仿宋_GBK"/>
                <w:color w:val="auto"/>
                <w:sz w:val="28"/>
                <w:szCs w:val="28"/>
                <w:lang w:eastAsia="zh-CN"/>
              </w:rPr>
              <w:t>地板</w:t>
            </w:r>
            <w:r>
              <w:rPr>
                <w:rFonts w:hint="eastAsia" w:ascii="方正仿宋_GBK" w:hAnsi="方正仿宋_GBK" w:eastAsia="方正仿宋_GBK" w:cs="方正仿宋_GBK"/>
                <w:sz w:val="28"/>
                <w:szCs w:val="28"/>
                <w:lang w:eastAsia="zh-CN"/>
              </w:rPr>
              <w:t>防滑</w:t>
            </w:r>
            <w:r>
              <w:rPr>
                <w:rFonts w:hint="eastAsia" w:ascii="方正仿宋_GBK" w:hAnsi="方正仿宋_GBK" w:eastAsia="方正仿宋_GBK" w:cs="方正仿宋_GBK"/>
                <w:sz w:val="28"/>
                <w:szCs w:val="28"/>
                <w:lang w:val="en-US" w:eastAsia="zh-CN"/>
              </w:rPr>
              <w:t>；环保油漆；五片加宽钢板、带天窗风扇等</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1"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170"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座椅</w:t>
            </w:r>
          </w:p>
        </w:tc>
        <w:tc>
          <w:tcPr>
            <w:tcW w:w="173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软硬适中</w:t>
            </w:r>
          </w:p>
        </w:tc>
        <w:tc>
          <w:tcPr>
            <w:tcW w:w="7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eastAsia="zh-CN"/>
              </w:rPr>
            </w:pPr>
          </w:p>
        </w:tc>
        <w:tc>
          <w:tcPr>
            <w:tcW w:w="475"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eastAsia="zh-CN"/>
              </w:rPr>
            </w:pPr>
          </w:p>
        </w:tc>
        <w:tc>
          <w:tcPr>
            <w:tcW w:w="55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1"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1170"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lang w:eastAsia="zh-CN"/>
              </w:rPr>
              <w:t>减震系统</w:t>
            </w:r>
          </w:p>
        </w:tc>
        <w:tc>
          <w:tcPr>
            <w:tcW w:w="173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highlight w:val="none"/>
                <w:lang w:val="en-US" w:eastAsia="zh-CN"/>
              </w:rPr>
              <w:t>液压减震</w:t>
            </w:r>
          </w:p>
        </w:tc>
        <w:tc>
          <w:tcPr>
            <w:tcW w:w="77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highlight w:val="none"/>
                <w:lang w:val="en-US" w:eastAsia="zh-CN"/>
              </w:rPr>
            </w:pPr>
          </w:p>
        </w:tc>
        <w:tc>
          <w:tcPr>
            <w:tcW w:w="475"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highlight w:val="none"/>
                <w:lang w:val="en-US" w:eastAsia="zh-CN"/>
              </w:rPr>
            </w:pPr>
          </w:p>
        </w:tc>
        <w:tc>
          <w:tcPr>
            <w:tcW w:w="55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highlight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货箱</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全封闭，金属材料，高强度，环保油漆； 有</w:t>
            </w:r>
            <w:r>
              <w:rPr>
                <w:rFonts w:hint="eastAsia" w:ascii="方正仿宋_GBK" w:hAnsi="方正仿宋_GBK" w:eastAsia="方正仿宋_GBK" w:cs="方正仿宋_GBK"/>
                <w:sz w:val="28"/>
                <w:szCs w:val="28"/>
                <w:lang w:val="en-US" w:eastAsia="zh-CN"/>
              </w:rPr>
              <w:t>防撞条、流水檐、踏板等，尾门双开或侧开门</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仪表台</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液晶</w:t>
            </w:r>
            <w:r>
              <w:rPr>
                <w:rFonts w:hint="eastAsia" w:ascii="方正仿宋_GBK" w:hAnsi="方正仿宋_GBK" w:eastAsia="方正仿宋_GBK" w:cs="方正仿宋_GBK"/>
                <w:color w:val="auto"/>
                <w:sz w:val="28"/>
                <w:szCs w:val="28"/>
                <w:lang w:eastAsia="zh-CN"/>
              </w:rPr>
              <w:t>仪表</w:t>
            </w:r>
            <w:r>
              <w:rPr>
                <w:rFonts w:hint="eastAsia" w:ascii="方正仿宋_GBK" w:hAnsi="方正仿宋_GBK" w:eastAsia="方正仿宋_GBK" w:cs="方正仿宋_GBK"/>
                <w:color w:val="auto"/>
                <w:sz w:val="28"/>
                <w:szCs w:val="28"/>
                <w:lang w:val="en-US" w:eastAsia="zh-CN"/>
              </w:rPr>
              <w:t>显示器、转把加速器、前刹把、喇叭、收音机、前进后退开关、转向灯控制、电动雨刮器、大灯开关、顶灯开关、远近光灯切换开关、后视镜、电源开关、雨刮器开关等</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后视镜</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左右各一</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1170" w:type="pct"/>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灯光及信号</w:t>
            </w:r>
          </w:p>
        </w:tc>
        <w:tc>
          <w:tcPr>
            <w:tcW w:w="1738"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前大</w:t>
            </w:r>
            <w:r>
              <w:rPr>
                <w:rFonts w:hint="eastAsia" w:ascii="方正仿宋_GBK" w:hAnsi="方正仿宋_GBK" w:eastAsia="方正仿宋_GBK" w:cs="方正仿宋_GBK"/>
                <w:sz w:val="28"/>
                <w:szCs w:val="28"/>
              </w:rPr>
              <w:t>灯、后尾灯</w:t>
            </w:r>
            <w:r>
              <w:rPr>
                <w:rFonts w:hint="eastAsia" w:ascii="方正仿宋_GBK" w:hAnsi="方正仿宋_GBK" w:eastAsia="方正仿宋_GBK" w:cs="方正仿宋_GBK"/>
                <w:sz w:val="28"/>
                <w:szCs w:val="28"/>
                <w:lang w:eastAsia="zh-CN"/>
              </w:rPr>
              <w:t>（刹车灯、位置灯、转向灯）</w:t>
            </w:r>
            <w:r>
              <w:rPr>
                <w:rFonts w:hint="eastAsia" w:ascii="方正仿宋_GBK" w:hAnsi="方正仿宋_GBK" w:eastAsia="方正仿宋_GBK" w:cs="方正仿宋_GBK"/>
                <w:sz w:val="28"/>
                <w:szCs w:val="28"/>
              </w:rPr>
              <w:t>、电喇叭</w:t>
            </w:r>
            <w:r>
              <w:rPr>
                <w:rFonts w:hint="eastAsia" w:ascii="方正仿宋_GBK" w:hAnsi="方正仿宋_GBK" w:eastAsia="方正仿宋_GBK" w:cs="方正仿宋_GBK"/>
                <w:sz w:val="28"/>
                <w:szCs w:val="28"/>
                <w:lang w:eastAsia="zh-CN"/>
              </w:rPr>
              <w:t>等</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17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前挡风玻璃</w:t>
            </w:r>
          </w:p>
        </w:tc>
        <w:tc>
          <w:tcPr>
            <w:tcW w:w="17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钢化前挡风玻璃+前雨刮器+防撞保险杠</w:t>
            </w:r>
          </w:p>
        </w:tc>
        <w:tc>
          <w:tcPr>
            <w:tcW w:w="7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lang w:val="en-US" w:eastAsia="zh-CN"/>
              </w:rPr>
              <w:t>23</w:t>
            </w:r>
          </w:p>
        </w:tc>
        <w:tc>
          <w:tcPr>
            <w:tcW w:w="117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轮胎</w:t>
            </w:r>
          </w:p>
        </w:tc>
        <w:tc>
          <w:tcPr>
            <w:tcW w:w="17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真空轮胎</w:t>
            </w:r>
          </w:p>
        </w:tc>
        <w:tc>
          <w:tcPr>
            <w:tcW w:w="7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sz w:val="28"/>
                <w:szCs w:val="28"/>
                <w:lang w:val="en-US" w:eastAsia="zh-CN"/>
              </w:rPr>
            </w:pPr>
          </w:p>
        </w:tc>
      </w:tr>
    </w:tbl>
    <w:p>
      <w:pPr>
        <w:keepNext w:val="0"/>
        <w:keepLines w:val="0"/>
        <w:pageBreakBefore w:val="0"/>
        <w:kinsoku/>
        <w:overflowPunct/>
        <w:topLinePunct w:val="0"/>
        <w:autoSpaceDE/>
        <w:autoSpaceDN/>
        <w:bidi w:val="0"/>
        <w:adjustRightInd/>
        <w:spacing w:line="420" w:lineRule="exact"/>
        <w:ind w:firstLine="562"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bCs/>
          <w:color w:val="FF0000"/>
          <w:sz w:val="28"/>
          <w:szCs w:val="28"/>
          <w:lang w:val="en-US" w:eastAsia="zh-CN"/>
        </w:rPr>
        <w:t>备注：</w:t>
      </w:r>
      <w:r>
        <w:rPr>
          <w:rFonts w:hint="eastAsia" w:ascii="方正仿宋_GBK" w:hAnsi="方正仿宋_GBK" w:eastAsia="方正仿宋_GBK" w:cs="方正仿宋_GBK"/>
          <w:b/>
          <w:bCs/>
          <w:color w:val="FF0000"/>
          <w:sz w:val="28"/>
          <w:szCs w:val="28"/>
        </w:rPr>
        <w:t>带★号条款为不可偏离条款，如未响应或者出现负偏离的，将作投标无效处理；带“▲”指标项为重要参数条款，负偏离时依相关评分准则内容作重点扣分处理。</w:t>
      </w:r>
    </w:p>
    <w:p>
      <w:pPr>
        <w:pStyle w:val="7"/>
        <w:keepNext w:val="0"/>
        <w:keepLines w:val="0"/>
        <w:pageBreakBefore w:val="0"/>
        <w:numPr>
          <w:ilvl w:val="0"/>
          <w:numId w:val="0"/>
        </w:numPr>
        <w:kinsoku/>
        <w:overflowPunct/>
        <w:topLinePunct w:val="0"/>
        <w:autoSpaceDE/>
        <w:autoSpaceDN/>
        <w:bidi w:val="0"/>
        <w:adjustRightInd/>
        <w:spacing w:line="420" w:lineRule="exact"/>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rPr>
        <w:t>商务要求偏离表</w:t>
      </w:r>
    </w:p>
    <w:tbl>
      <w:tblPr>
        <w:tblStyle w:val="13"/>
        <w:tblW w:w="53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843"/>
        <w:gridCol w:w="223"/>
        <w:gridCol w:w="3085"/>
        <w:gridCol w:w="1485"/>
        <w:gridCol w:w="93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bCs w:val="0"/>
                <w:kern w:val="2"/>
                <w:sz w:val="28"/>
                <w:szCs w:val="28"/>
                <w:lang w:eastAsia="zh-CN"/>
              </w:rPr>
              <w:t>序号</w:t>
            </w:r>
          </w:p>
        </w:tc>
        <w:tc>
          <w:tcPr>
            <w:tcW w:w="112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bCs w:val="0"/>
                <w:kern w:val="2"/>
                <w:sz w:val="28"/>
                <w:szCs w:val="28"/>
                <w:lang w:eastAsia="zh-CN"/>
              </w:rPr>
              <w:t>商务要求项</w:t>
            </w:r>
          </w:p>
        </w:tc>
        <w:tc>
          <w:tcPr>
            <w:tcW w:w="16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招标商务要求</w:t>
            </w:r>
          </w:p>
        </w:tc>
        <w:tc>
          <w:tcPr>
            <w:tcW w:w="8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投标商务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响应</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偏离情况</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sz w:val="28"/>
                <w:szCs w:val="28"/>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关于免费保修期</w:t>
            </w:r>
          </w:p>
        </w:tc>
        <w:tc>
          <w:tcPr>
            <w:tcW w:w="1807"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auto"/>
                <w:sz w:val="28"/>
                <w:szCs w:val="28"/>
                <w:lang w:val="en-US" w:eastAsia="zh-CN"/>
              </w:rPr>
              <w:t>免费质保期：定制电瓶车</w:t>
            </w:r>
            <w:r>
              <w:rPr>
                <w:rFonts w:hint="eastAsia" w:ascii="方正仿宋_GBK" w:hAnsi="方正仿宋_GBK" w:eastAsia="方正仿宋_GBK" w:cs="方正仿宋_GBK"/>
                <w:b w:val="0"/>
                <w:bCs/>
                <w:color w:val="auto"/>
                <w:sz w:val="28"/>
                <w:szCs w:val="28"/>
              </w:rPr>
              <w:t>整车质保</w:t>
            </w:r>
            <w:r>
              <w:rPr>
                <w:rFonts w:hint="eastAsia" w:ascii="方正仿宋_GBK" w:hAnsi="方正仿宋_GBK" w:eastAsia="方正仿宋_GBK" w:cs="方正仿宋_GBK"/>
                <w:b w:val="0"/>
                <w:bCs/>
                <w:color w:val="auto"/>
                <w:sz w:val="28"/>
                <w:szCs w:val="28"/>
                <w:lang w:eastAsia="zh-CN"/>
              </w:rPr>
              <w:t>期</w:t>
            </w:r>
            <w:r>
              <w:rPr>
                <w:rFonts w:hint="eastAsia" w:ascii="方正仿宋_GBK" w:hAnsi="方正仿宋_GBK" w:eastAsia="方正仿宋_GBK" w:cs="方正仿宋_GBK"/>
                <w:b w:val="0"/>
                <w:bCs/>
                <w:color w:val="auto"/>
                <w:sz w:val="28"/>
                <w:szCs w:val="28"/>
              </w:rPr>
              <w:t>≥</w:t>
            </w:r>
            <w:r>
              <w:rPr>
                <w:rFonts w:hint="eastAsia" w:ascii="方正仿宋_GBK" w:hAnsi="方正仿宋_GBK" w:eastAsia="方正仿宋_GBK" w:cs="方正仿宋_GBK"/>
                <w:b w:val="0"/>
                <w:bCs/>
                <w:color w:val="auto"/>
                <w:sz w:val="28"/>
                <w:szCs w:val="28"/>
                <w:lang w:val="en-US" w:eastAsia="zh-CN"/>
              </w:rPr>
              <w:t>3</w:t>
            </w:r>
            <w:r>
              <w:rPr>
                <w:rFonts w:hint="eastAsia" w:ascii="方正仿宋_GBK" w:hAnsi="方正仿宋_GBK" w:eastAsia="方正仿宋_GBK" w:cs="方正仿宋_GBK"/>
                <w:b w:val="0"/>
                <w:bCs/>
                <w:color w:val="auto"/>
                <w:sz w:val="28"/>
                <w:szCs w:val="28"/>
              </w:rPr>
              <w:t>年、电池质保</w:t>
            </w:r>
            <w:r>
              <w:rPr>
                <w:rFonts w:hint="eastAsia" w:ascii="方正仿宋_GBK" w:hAnsi="方正仿宋_GBK" w:eastAsia="方正仿宋_GBK" w:cs="方正仿宋_GBK"/>
                <w:b w:val="0"/>
                <w:bCs/>
                <w:color w:val="auto"/>
                <w:sz w:val="28"/>
                <w:szCs w:val="28"/>
                <w:lang w:eastAsia="zh-CN"/>
              </w:rPr>
              <w:t>期</w:t>
            </w:r>
            <w:r>
              <w:rPr>
                <w:rFonts w:hint="eastAsia" w:ascii="方正仿宋_GBK" w:hAnsi="方正仿宋_GBK" w:eastAsia="方正仿宋_GBK" w:cs="方正仿宋_GBK"/>
                <w:b w:val="0"/>
                <w:bCs/>
                <w:color w:val="auto"/>
                <w:sz w:val="28"/>
                <w:szCs w:val="28"/>
              </w:rPr>
              <w:t>≥5年</w:t>
            </w:r>
            <w:r>
              <w:rPr>
                <w:rFonts w:hint="eastAsia" w:ascii="方正仿宋_GBK" w:hAnsi="方正仿宋_GBK" w:eastAsia="方正仿宋_GBK" w:cs="方正仿宋_GBK"/>
                <w:b w:val="0"/>
                <w:bCs/>
                <w:color w:val="auto"/>
                <w:sz w:val="28"/>
                <w:szCs w:val="28"/>
                <w:lang w:eastAsia="zh-CN"/>
              </w:rPr>
              <w:t>；</w:t>
            </w:r>
            <w:r>
              <w:rPr>
                <w:rFonts w:hint="eastAsia" w:ascii="方正仿宋_GBK" w:hAnsi="方正仿宋_GBK" w:eastAsia="方正仿宋_GBK" w:cs="方正仿宋_GBK"/>
                <w:b w:val="0"/>
                <w:bCs/>
                <w:color w:val="auto"/>
                <w:sz w:val="28"/>
                <w:szCs w:val="28"/>
                <w:lang w:val="en-US" w:eastAsia="zh-CN"/>
              </w:rPr>
              <w:t>物料运输三轮电瓶车整车质保期</w:t>
            </w:r>
            <w:r>
              <w:rPr>
                <w:rFonts w:hint="eastAsia" w:ascii="方正仿宋_GBK" w:hAnsi="方正仿宋_GBK" w:eastAsia="方正仿宋_GBK" w:cs="方正仿宋_GBK"/>
                <w:b w:val="0"/>
                <w:bCs/>
                <w:color w:val="auto"/>
                <w:sz w:val="28"/>
                <w:szCs w:val="28"/>
              </w:rPr>
              <w:t>≥</w:t>
            </w:r>
            <w:r>
              <w:rPr>
                <w:rFonts w:hint="eastAsia" w:ascii="方正仿宋_GBK" w:hAnsi="方正仿宋_GBK" w:eastAsia="方正仿宋_GBK" w:cs="方正仿宋_GBK"/>
                <w:b w:val="0"/>
                <w:bCs/>
                <w:color w:val="auto"/>
                <w:sz w:val="28"/>
                <w:szCs w:val="28"/>
                <w:lang w:val="en-US" w:eastAsia="zh-CN"/>
              </w:rPr>
              <w:t>1</w:t>
            </w:r>
            <w:r>
              <w:rPr>
                <w:rFonts w:hint="eastAsia" w:ascii="方正仿宋_GBK" w:hAnsi="方正仿宋_GBK" w:eastAsia="方正仿宋_GBK" w:cs="方正仿宋_GBK"/>
                <w:b w:val="0"/>
                <w:bCs/>
                <w:color w:val="auto"/>
                <w:sz w:val="28"/>
                <w:szCs w:val="28"/>
              </w:rPr>
              <w:t>年</w:t>
            </w:r>
            <w:r>
              <w:rPr>
                <w:rFonts w:hint="eastAsia" w:ascii="方正仿宋_GBK" w:hAnsi="方正仿宋_GBK" w:eastAsia="方正仿宋_GBK" w:cs="方正仿宋_GBK"/>
                <w:b w:val="0"/>
                <w:bCs/>
                <w:color w:val="auto"/>
                <w:sz w:val="28"/>
                <w:szCs w:val="28"/>
                <w:lang w:eastAsia="zh-CN"/>
              </w:rPr>
              <w:t>。质保期内车架、电池、电机、电控、后桥等整车和车辆关键零部件、易损耗件中标人免费无条件包修包换,并提供常规保养。质保期后中标人须保证以合理的价格提供备件和保养服务，终身有偿服务。</w:t>
            </w:r>
          </w:p>
          <w:p>
            <w:pPr>
              <w:pStyle w:val="6"/>
              <w:keepNext w:val="0"/>
              <w:keepLines w:val="0"/>
              <w:pageBreakBefore w:val="0"/>
              <w:numPr>
                <w:ilvl w:val="0"/>
                <w:numId w:val="0"/>
              </w:numPr>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auto"/>
                <w:sz w:val="28"/>
                <w:szCs w:val="28"/>
                <w:lang w:eastAsia="zh-CN"/>
              </w:rPr>
              <w:t>响应时间：中标人向采购人提供</w:t>
            </w:r>
            <w:r>
              <w:rPr>
                <w:rFonts w:hint="eastAsia" w:ascii="方正仿宋_GBK" w:hAnsi="方正仿宋_GBK" w:eastAsia="方正仿宋_GBK" w:cs="方正仿宋_GBK"/>
                <w:b w:val="0"/>
                <w:bCs/>
                <w:color w:val="auto"/>
                <w:sz w:val="28"/>
                <w:szCs w:val="28"/>
                <w:lang w:val="en-US" w:eastAsia="zh-CN"/>
              </w:rPr>
              <w:t>24小时电话响应服务；服务及维修响应时间为1小时内，8-24小时内抵达现场，一般故障在12小时内维修完毕，特殊故障不超过24小时。</w:t>
            </w:r>
          </w:p>
        </w:tc>
        <w:tc>
          <w:tcPr>
            <w:tcW w:w="81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sz w:val="28"/>
                <w:szCs w:val="28"/>
                <w:lang w:val="en-US" w:eastAsia="zh-CN"/>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报价要求</w:t>
            </w:r>
          </w:p>
        </w:tc>
        <w:tc>
          <w:tcPr>
            <w:tcW w:w="1807"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lang w:val="en-US" w:eastAsia="zh-CN"/>
              </w:rPr>
              <w:t>分项报价，不得超过预算费用，投标</w:t>
            </w:r>
            <w:r>
              <w:rPr>
                <w:rFonts w:hint="eastAsia" w:ascii="方正仿宋_GBK" w:hAnsi="方正仿宋_GBK" w:eastAsia="方正仿宋_GBK" w:cs="方正仿宋_GBK"/>
                <w:b w:val="0"/>
                <w:bCs/>
                <w:kern w:val="2"/>
                <w:sz w:val="28"/>
                <w:szCs w:val="28"/>
              </w:rPr>
              <w:t>总价必须是完成该项目的一切费用总和，包括设备费、运输费、装卸费、技术培训费、设备安装费、调试费、售后服务费、国家规定的各项税费等全部费用。</w:t>
            </w:r>
          </w:p>
        </w:tc>
        <w:tc>
          <w:tcPr>
            <w:tcW w:w="81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2</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交货地点</w:t>
            </w:r>
          </w:p>
        </w:tc>
        <w:tc>
          <w:tcPr>
            <w:tcW w:w="1807"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采购方指定地点。</w:t>
            </w:r>
          </w:p>
        </w:tc>
        <w:tc>
          <w:tcPr>
            <w:tcW w:w="81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3</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交货期</w:t>
            </w:r>
            <w:r>
              <w:rPr>
                <w:rFonts w:hint="eastAsia" w:ascii="方正仿宋_GBK" w:hAnsi="方正仿宋_GBK" w:eastAsia="方正仿宋_GBK" w:cs="方正仿宋_GBK"/>
                <w:b w:val="0"/>
                <w:bCs/>
                <w:kern w:val="2"/>
                <w:sz w:val="28"/>
                <w:szCs w:val="28"/>
                <w:lang w:eastAsia="zh-CN"/>
              </w:rPr>
              <w:t>限</w:t>
            </w:r>
          </w:p>
        </w:tc>
        <w:tc>
          <w:tcPr>
            <w:tcW w:w="1807"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u w:val="single"/>
              </w:rPr>
              <w:t>合同签订后</w:t>
            </w:r>
            <w:r>
              <w:rPr>
                <w:rFonts w:hint="eastAsia" w:ascii="方正仿宋_GBK" w:hAnsi="方正仿宋_GBK" w:eastAsia="方正仿宋_GBK" w:cs="方正仿宋_GBK"/>
                <w:b w:val="0"/>
                <w:bCs/>
                <w:kern w:val="2"/>
                <w:sz w:val="28"/>
                <w:szCs w:val="28"/>
                <w:u w:val="single"/>
                <w:lang w:val="en-US" w:eastAsia="zh-CN"/>
              </w:rPr>
              <w:t>30</w:t>
            </w:r>
            <w:r>
              <w:rPr>
                <w:rFonts w:hint="eastAsia" w:ascii="方正仿宋_GBK" w:hAnsi="方正仿宋_GBK" w:eastAsia="方正仿宋_GBK" w:cs="方正仿宋_GBK"/>
                <w:b w:val="0"/>
                <w:bCs/>
                <w:kern w:val="2"/>
                <w:sz w:val="28"/>
                <w:szCs w:val="28"/>
                <w:u w:val="single"/>
              </w:rPr>
              <w:t>天（日历</w:t>
            </w:r>
            <w:r>
              <w:rPr>
                <w:rFonts w:hint="eastAsia" w:ascii="方正仿宋_GBK" w:hAnsi="方正仿宋_GBK" w:eastAsia="方正仿宋_GBK" w:cs="方正仿宋_GBK"/>
                <w:b w:val="0"/>
                <w:bCs/>
                <w:kern w:val="2"/>
                <w:sz w:val="28"/>
                <w:szCs w:val="28"/>
              </w:rPr>
              <w:t>日）内完成交车及验收。</w:t>
            </w:r>
          </w:p>
        </w:tc>
        <w:tc>
          <w:tcPr>
            <w:tcW w:w="81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u w:val="single"/>
              </w:rPr>
            </w:pPr>
          </w:p>
        </w:tc>
        <w:tc>
          <w:tcPr>
            <w:tcW w:w="51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u w:val="single"/>
              </w:rPr>
            </w:pPr>
          </w:p>
        </w:tc>
        <w:tc>
          <w:tcPr>
            <w:tcW w:w="5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4</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付款方式</w:t>
            </w:r>
          </w:p>
        </w:tc>
        <w:tc>
          <w:tcPr>
            <w:tcW w:w="1807"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全部货物</w:t>
            </w:r>
            <w:r>
              <w:rPr>
                <w:rFonts w:hint="eastAsia" w:ascii="方正仿宋_GBK" w:hAnsi="方正仿宋_GBK" w:eastAsia="方正仿宋_GBK" w:cs="方正仿宋_GBK"/>
                <w:b w:val="0"/>
                <w:bCs/>
                <w:kern w:val="2"/>
                <w:sz w:val="28"/>
                <w:szCs w:val="28"/>
                <w:lang w:val="en-US" w:eastAsia="zh-CN"/>
              </w:rPr>
              <w:t>（包括车辆、充电器、随车工具、安全链条、说明书、合格证、产品责任险保单等。）</w:t>
            </w:r>
            <w:r>
              <w:rPr>
                <w:rFonts w:hint="eastAsia" w:ascii="方正仿宋_GBK" w:hAnsi="方正仿宋_GBK" w:eastAsia="方正仿宋_GBK" w:cs="方正仿宋_GBK"/>
                <w:b w:val="0"/>
                <w:bCs/>
                <w:kern w:val="2"/>
                <w:sz w:val="28"/>
                <w:szCs w:val="28"/>
              </w:rPr>
              <w:t>送到采购人指定地点、完成安装并验收合格，中标人需向采购人提交发票</w:t>
            </w:r>
            <w:r>
              <w:rPr>
                <w:rFonts w:hint="eastAsia" w:ascii="方正仿宋_GBK" w:hAnsi="方正仿宋_GBK" w:eastAsia="方正仿宋_GBK" w:cs="方正仿宋_GBK"/>
                <w:b w:val="0"/>
                <w:bCs/>
                <w:kern w:val="2"/>
                <w:sz w:val="28"/>
                <w:szCs w:val="28"/>
                <w:lang w:eastAsia="zh-CN"/>
              </w:rPr>
              <w:t>（</w:t>
            </w:r>
            <w:r>
              <w:rPr>
                <w:rFonts w:hint="eastAsia" w:ascii="方正仿宋_GBK" w:hAnsi="方正仿宋_GBK" w:eastAsia="方正仿宋_GBK" w:cs="方正仿宋_GBK"/>
                <w:b w:val="0"/>
                <w:bCs/>
                <w:kern w:val="2"/>
                <w:sz w:val="28"/>
                <w:szCs w:val="28"/>
                <w:lang w:val="en-US" w:eastAsia="zh-CN"/>
              </w:rPr>
              <w:t>13增值税票</w:t>
            </w:r>
            <w:r>
              <w:rPr>
                <w:rFonts w:hint="eastAsia" w:ascii="方正仿宋_GBK" w:hAnsi="方正仿宋_GBK" w:eastAsia="方正仿宋_GBK" w:cs="方正仿宋_GBK"/>
                <w:b w:val="0"/>
                <w:bCs/>
                <w:kern w:val="2"/>
                <w:sz w:val="28"/>
                <w:szCs w:val="28"/>
                <w:lang w:eastAsia="zh-CN"/>
              </w:rPr>
              <w:t>）</w:t>
            </w:r>
            <w:r>
              <w:rPr>
                <w:rFonts w:hint="eastAsia" w:ascii="方正仿宋_GBK" w:hAnsi="方正仿宋_GBK" w:eastAsia="方正仿宋_GBK" w:cs="方正仿宋_GBK"/>
                <w:b w:val="0"/>
                <w:bCs/>
                <w:kern w:val="2"/>
                <w:sz w:val="28"/>
                <w:szCs w:val="28"/>
              </w:rPr>
              <w:t>、销售合同等付款凭证后，采购人在1</w:t>
            </w:r>
            <w:r>
              <w:rPr>
                <w:rFonts w:hint="eastAsia" w:ascii="方正仿宋_GBK" w:hAnsi="方正仿宋_GBK" w:eastAsia="方正仿宋_GBK" w:cs="方正仿宋_GBK"/>
                <w:b w:val="0"/>
                <w:bCs/>
                <w:kern w:val="2"/>
                <w:sz w:val="28"/>
                <w:szCs w:val="28"/>
                <w:lang w:val="en-US" w:eastAsia="zh-CN"/>
              </w:rPr>
              <w:t>5</w:t>
            </w:r>
            <w:r>
              <w:rPr>
                <w:rFonts w:hint="eastAsia" w:ascii="方正仿宋_GBK" w:hAnsi="方正仿宋_GBK" w:eastAsia="方正仿宋_GBK" w:cs="方正仿宋_GBK"/>
                <w:b w:val="0"/>
                <w:bCs/>
                <w:kern w:val="2"/>
                <w:sz w:val="28"/>
                <w:szCs w:val="28"/>
              </w:rPr>
              <w:t>个工作日内，向中标人支付合同总价【100】%的款项。</w:t>
            </w:r>
          </w:p>
        </w:tc>
        <w:tc>
          <w:tcPr>
            <w:tcW w:w="81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5</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验收方式</w:t>
            </w:r>
          </w:p>
        </w:tc>
        <w:tc>
          <w:tcPr>
            <w:tcW w:w="1807"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采购人对中标供应商提交的货物依据采购文件上的技术规格要求和国家有关质量标准进行现场初步验收，符合采购文件技术要求的，给予签收；不符合采购文件所列的技术及质量参数要求视为验收不合格，不予签收验收，所产生的后果由中标供应商负责。货到后，采购人应当在到货（安装、调试完）后3个工作日内进行验收。</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中标</w:t>
            </w:r>
            <w:r>
              <w:rPr>
                <w:rFonts w:hint="eastAsia" w:ascii="方正仿宋_GBK" w:hAnsi="方正仿宋_GBK" w:eastAsia="方正仿宋_GBK" w:cs="方正仿宋_GBK"/>
                <w:b w:val="0"/>
                <w:bCs/>
                <w:sz w:val="28"/>
                <w:szCs w:val="28"/>
                <w:lang w:eastAsia="zh-CN"/>
              </w:rPr>
              <w:t>人</w:t>
            </w:r>
            <w:r>
              <w:rPr>
                <w:rFonts w:hint="eastAsia" w:ascii="方正仿宋_GBK" w:hAnsi="方正仿宋_GBK" w:eastAsia="方正仿宋_GBK" w:cs="方正仿宋_GBK"/>
                <w:b w:val="0"/>
                <w:bCs/>
                <w:sz w:val="28"/>
                <w:szCs w:val="28"/>
              </w:rPr>
              <w:t>交货前应对产品作出全面检查和对验收文件进行整理，并列出清单，作为采购人收货验收和使用的技术条件依据，检验的结果应随货物交采购人。</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（3）</w:t>
            </w:r>
            <w:r>
              <w:rPr>
                <w:rFonts w:hint="eastAsia" w:ascii="方正仿宋_GBK" w:hAnsi="方正仿宋_GBK" w:eastAsia="方正仿宋_GBK" w:cs="方正仿宋_GBK"/>
                <w:b w:val="0"/>
                <w:bCs/>
                <w:sz w:val="28"/>
                <w:szCs w:val="28"/>
              </w:rPr>
              <w:t>采购人对中标</w:t>
            </w:r>
            <w:r>
              <w:rPr>
                <w:rFonts w:hint="eastAsia" w:ascii="方正仿宋_GBK" w:hAnsi="方正仿宋_GBK" w:eastAsia="方正仿宋_GBK" w:cs="方正仿宋_GBK"/>
                <w:b w:val="0"/>
                <w:bCs/>
                <w:sz w:val="28"/>
                <w:szCs w:val="28"/>
                <w:lang w:eastAsia="zh-CN"/>
              </w:rPr>
              <w:t>人</w:t>
            </w:r>
            <w:r>
              <w:rPr>
                <w:rFonts w:hint="eastAsia" w:ascii="方正仿宋_GBK" w:hAnsi="方正仿宋_GBK" w:eastAsia="方正仿宋_GBK" w:cs="方正仿宋_GBK"/>
                <w:b w:val="0"/>
                <w:bCs/>
                <w:sz w:val="28"/>
                <w:szCs w:val="28"/>
              </w:rPr>
              <w:t>提供的货物在使用前进行调试时，中标</w:t>
            </w:r>
            <w:r>
              <w:rPr>
                <w:rFonts w:hint="eastAsia" w:ascii="方正仿宋_GBK" w:hAnsi="方正仿宋_GBK" w:eastAsia="方正仿宋_GBK" w:cs="方正仿宋_GBK"/>
                <w:b w:val="0"/>
                <w:bCs/>
                <w:sz w:val="28"/>
                <w:szCs w:val="28"/>
                <w:lang w:eastAsia="zh-CN"/>
              </w:rPr>
              <w:t>人</w:t>
            </w:r>
            <w:r>
              <w:rPr>
                <w:rFonts w:hint="eastAsia" w:ascii="方正仿宋_GBK" w:hAnsi="方正仿宋_GBK" w:eastAsia="方正仿宋_GBK" w:cs="方正仿宋_GBK"/>
                <w:b w:val="0"/>
                <w:bCs/>
                <w:sz w:val="28"/>
                <w:szCs w:val="28"/>
              </w:rPr>
              <w:t>需负责安装并培训</w:t>
            </w:r>
            <w:r>
              <w:rPr>
                <w:rFonts w:hint="eastAsia" w:ascii="方正仿宋_GBK" w:hAnsi="方正仿宋_GBK" w:eastAsia="方正仿宋_GBK" w:cs="方正仿宋_GBK"/>
                <w:b w:val="0"/>
                <w:bCs/>
                <w:sz w:val="28"/>
                <w:szCs w:val="28"/>
                <w:lang w:eastAsia="zh-CN"/>
              </w:rPr>
              <w:t>采购人</w:t>
            </w:r>
            <w:r>
              <w:rPr>
                <w:rFonts w:hint="eastAsia" w:ascii="方正仿宋_GBK" w:hAnsi="方正仿宋_GBK" w:eastAsia="方正仿宋_GBK" w:cs="方正仿宋_GBK"/>
                <w:b w:val="0"/>
                <w:bCs/>
                <w:sz w:val="28"/>
                <w:szCs w:val="28"/>
              </w:rPr>
              <w:t>的使用操作人员，</w:t>
            </w:r>
            <w:r>
              <w:rPr>
                <w:rFonts w:hint="eastAsia" w:ascii="方正仿宋_GBK" w:hAnsi="方正仿宋_GBK" w:eastAsia="方正仿宋_GBK" w:cs="方正仿宋_GBK"/>
                <w:b w:val="0"/>
                <w:bCs/>
                <w:kern w:val="2"/>
                <w:sz w:val="28"/>
                <w:szCs w:val="28"/>
              </w:rPr>
              <w:t>保证采购人员能够熟练掌握各种设备等常规使用方法，以及小故障的判断与解决。</w:t>
            </w:r>
            <w:r>
              <w:rPr>
                <w:rFonts w:hint="eastAsia" w:ascii="方正仿宋_GBK" w:hAnsi="方正仿宋_GBK" w:eastAsia="方正仿宋_GBK" w:cs="方正仿宋_GBK"/>
                <w:b w:val="0"/>
                <w:bCs/>
                <w:sz w:val="28"/>
                <w:szCs w:val="28"/>
              </w:rPr>
              <w:t>并协助采购人一起调试，直到符合技术要求，采购人才做最终验收。</w:t>
            </w:r>
          </w:p>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4</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验收时中标供应商必须在现场，验收完毕后作出验收结果报告；</w:t>
            </w:r>
            <w:r>
              <w:rPr>
                <w:rFonts w:hint="eastAsia" w:ascii="方正仿宋_GBK" w:hAnsi="方正仿宋_GBK" w:eastAsia="方正仿宋_GBK" w:cs="方正仿宋_GBK"/>
                <w:b w:val="0"/>
                <w:bCs/>
                <w:sz w:val="28"/>
                <w:szCs w:val="28"/>
                <w:lang w:eastAsia="zh-CN"/>
              </w:rPr>
              <w:t>若需由专业机构配合</w:t>
            </w:r>
            <w:r>
              <w:rPr>
                <w:rFonts w:hint="eastAsia" w:ascii="方正仿宋_GBK" w:hAnsi="方正仿宋_GBK" w:eastAsia="方正仿宋_GBK" w:cs="方正仿宋_GBK"/>
                <w:b w:val="0"/>
                <w:bCs/>
                <w:sz w:val="28"/>
                <w:szCs w:val="28"/>
              </w:rPr>
              <w:t>验收</w:t>
            </w:r>
            <w:r>
              <w:rPr>
                <w:rFonts w:hint="eastAsia" w:ascii="方正仿宋_GBK" w:hAnsi="方正仿宋_GBK" w:eastAsia="方正仿宋_GBK" w:cs="方正仿宋_GBK"/>
                <w:b w:val="0"/>
                <w:bCs/>
                <w:sz w:val="28"/>
                <w:szCs w:val="28"/>
                <w:lang w:eastAsia="zh-CN"/>
              </w:rPr>
              <w:t>，相关</w:t>
            </w:r>
            <w:r>
              <w:rPr>
                <w:rFonts w:hint="eastAsia" w:ascii="方正仿宋_GBK" w:hAnsi="方正仿宋_GBK" w:eastAsia="方正仿宋_GBK" w:cs="方正仿宋_GBK"/>
                <w:b w:val="0"/>
                <w:bCs/>
                <w:sz w:val="28"/>
                <w:szCs w:val="28"/>
              </w:rPr>
              <w:t>费用由中标供应商负责。</w:t>
            </w:r>
          </w:p>
          <w:p>
            <w:pPr>
              <w:pStyle w:val="2"/>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5</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eastAsia="zh-CN"/>
              </w:rPr>
              <w:t>中标人</w:t>
            </w:r>
            <w:r>
              <w:rPr>
                <w:rFonts w:hint="eastAsia" w:ascii="方正仿宋_GBK" w:hAnsi="方正仿宋_GBK" w:eastAsia="方正仿宋_GBK" w:cs="方正仿宋_GBK"/>
                <w:b w:val="0"/>
                <w:bCs/>
                <w:kern w:val="2"/>
                <w:sz w:val="28"/>
                <w:szCs w:val="28"/>
              </w:rPr>
              <w:t>提供制造商出具的产品说明书、彩页、照片（扫描件）。中标后提供所投产品相关合格证明材料。</w:t>
            </w:r>
          </w:p>
        </w:tc>
        <w:tc>
          <w:tcPr>
            <w:tcW w:w="81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kern w:val="2"/>
                <w:sz w:val="28"/>
                <w:szCs w:val="28"/>
              </w:rPr>
            </w:pPr>
          </w:p>
        </w:tc>
        <w:tc>
          <w:tcPr>
            <w:tcW w:w="51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kern w:val="2"/>
                <w:sz w:val="28"/>
                <w:szCs w:val="28"/>
              </w:rPr>
            </w:pPr>
          </w:p>
        </w:tc>
        <w:tc>
          <w:tcPr>
            <w:tcW w:w="5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6</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违约责任</w:t>
            </w:r>
          </w:p>
        </w:tc>
        <w:tc>
          <w:tcPr>
            <w:tcW w:w="1807"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val="en-US" w:eastAsia="zh-CN"/>
              </w:rPr>
              <w:t>合同生效后，中标人逾期交付货物，应向采购人每天支付合同总金额千分之三的违约金。如中标人超过供货期10天仍未供货，采购人有权解除合同，并要求中标人承担违约责任。验收合格后，采购人逾期付款，应向中标人每天支付合同总金额千分之三的违约金。</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val="en-US" w:eastAsia="zh-CN"/>
              </w:rPr>
              <w:t>中标人所交付的货物质量不符合同规定标准、国家安全标准和采购人要求，采购人有权拒收或要求中标人更换货物。中标人不能交货或者不能按合同提供技术服务或者单方面终止合同，采购人可主张中标人向采购人支付不超过合同总金额百分之三十的续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（3）</w:t>
            </w:r>
            <w:r>
              <w:rPr>
                <w:rFonts w:hint="eastAsia" w:ascii="方正仿宋_GBK" w:hAnsi="方正仿宋_GBK" w:eastAsia="方正仿宋_GBK" w:cs="方正仿宋_GBK"/>
                <w:b w:val="0"/>
                <w:bCs/>
                <w:kern w:val="2"/>
                <w:sz w:val="28"/>
                <w:szCs w:val="28"/>
                <w:lang w:val="en-US" w:eastAsia="zh-CN"/>
              </w:rPr>
              <w:t>中标人交付的货物在采购人验收人员在验收时无法肉眼现场发现的质量问题，包括但不限于货物技术质量问题、使用后才能发现的问题、专业仪器检测才能发现的问题、假冒产品经原厂或专业部门检测后发现的问题等，采购人有权在质保期内向中标人主张退货或者换货，采购人可主张中标人向采购人支付不超过合同总价百分之二十的违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4</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val="en-US" w:eastAsia="zh-CN"/>
              </w:rPr>
              <w:t>若因不可抗力因素（包括但不限台风、雷暴等自然灾害，政府部门政策调整、运输意外交通事故等其它因素）造成逾期交货的，中标人应及时书面告知采购人，双方均无权立即终止项目合同，采购人视情况决定是否同意延长一定期限的交货时间。若采购人同意延长交货，中标人仍无法在延长后的期限内交货的，采购人有权解除本项目合同；若因采购人原因造成中标人逾期交货的，中标人不承担因此而产生的相关责任。</w:t>
            </w:r>
          </w:p>
        </w:tc>
        <w:tc>
          <w:tcPr>
            <w:tcW w:w="811"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7</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争议的解决</w:t>
            </w:r>
          </w:p>
        </w:tc>
        <w:tc>
          <w:tcPr>
            <w:tcW w:w="1807" w:type="pct"/>
            <w:gridSpan w:val="2"/>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kern w:val="2"/>
                <w:sz w:val="28"/>
                <w:szCs w:val="28"/>
                <w:lang w:val="en-US" w:eastAsia="zh-CN" w:bidi="ar-SA"/>
              </w:rPr>
              <w:t>凡因执行本项目合同所发生的或者与本项目合同有关的一切争议，双方应通过友好协商解决。</w:t>
            </w:r>
          </w:p>
          <w:p>
            <w:pPr>
              <w:keepNext w:val="0"/>
              <w:keepLines w:val="0"/>
              <w:pageBreakBefore w:val="0"/>
              <w:kinsoku/>
              <w:overflowPunct/>
              <w:topLinePunct w:val="0"/>
              <w:autoSpaceDE/>
              <w:autoSpaceDN/>
              <w:bidi w:val="0"/>
              <w:adjustRightInd/>
              <w:snapToGrid/>
              <w:spacing w:line="420" w:lineRule="exac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kern w:val="2"/>
                <w:sz w:val="28"/>
                <w:szCs w:val="28"/>
                <w:lang w:val="en-US" w:eastAsia="zh-CN" w:bidi="ar-SA"/>
              </w:rPr>
              <w:t>协商不成时，双方均有权向深圳市龙岗区人民法院提起诉讼。</w:t>
            </w:r>
          </w:p>
        </w:tc>
        <w:tc>
          <w:tcPr>
            <w:tcW w:w="811"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8</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签订合同</w:t>
            </w:r>
          </w:p>
        </w:tc>
        <w:tc>
          <w:tcPr>
            <w:tcW w:w="1807"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中标人须按中标通知书规定的时间、地点与采购人办理合同签订事宜。</w:t>
            </w:r>
          </w:p>
          <w:p>
            <w:pPr>
              <w:pStyle w:val="9"/>
              <w:keepNext w:val="0"/>
              <w:keepLines w:val="0"/>
              <w:pageBreakBefore w:val="0"/>
              <w:kinsoku/>
              <w:overflowPunct/>
              <w:topLinePunct w:val="0"/>
              <w:autoSpaceDE/>
              <w:autoSpaceDN/>
              <w:bidi w:val="0"/>
              <w:adjustRightInd/>
              <w:snapToGrid/>
              <w:spacing w:line="420" w:lineRule="exact"/>
              <w:ind w:left="0" w:leftChars="0" w:firstLine="0" w:firstLineChars="0"/>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color w:val="auto"/>
                <w:kern w:val="2"/>
                <w:sz w:val="28"/>
                <w:szCs w:val="28"/>
                <w:lang w:val="en-US" w:eastAsia="zh-CN" w:bidi="ar-SA"/>
              </w:rPr>
              <w:t>中标人若不按规定时间、地点与采购人办理合同签订事宜，采购人可取消其中标资格。给采购人造成的损失，还应当予以赔偿并承担相应法律责任。</w:t>
            </w:r>
          </w:p>
        </w:tc>
        <w:tc>
          <w:tcPr>
            <w:tcW w:w="811"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9</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0"/>
                <w:sz w:val="28"/>
                <w:szCs w:val="28"/>
              </w:rPr>
              <w:t>合同解除</w:t>
            </w:r>
          </w:p>
        </w:tc>
        <w:tc>
          <w:tcPr>
            <w:tcW w:w="1807" w:type="pct"/>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pacing w:line="420" w:lineRule="exact"/>
              <w:ind w:firstLine="560" w:firstLineChars="200"/>
              <w:textAlignment w:val="auto"/>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有下列情形之一的，双方可以解除合同：</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）因不可抗力致使不能实现合同目的；</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）由于中标人的原因未能在本合同约定的交货期或者工期交货或者移交的，逾期超过 15 个日历日仍不能交货或者移交的；中标人所交付的产品品种、型号、规格、质量不符合同规定标准的，并经过15个日历日整改仍不达标的，采购人有权解除合同并要求中标人承担相应的违约责任及由此给采购人造成的其他经济损失；</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（3）法律规定的其他情形。</w:t>
            </w:r>
          </w:p>
        </w:tc>
        <w:tc>
          <w:tcPr>
            <w:tcW w:w="811"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10</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其它</w:t>
            </w:r>
          </w:p>
        </w:tc>
        <w:tc>
          <w:tcPr>
            <w:tcW w:w="1807" w:type="pct"/>
            <w:gridSpan w:val="2"/>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lang w:val="en-US" w:eastAsia="zh-CN"/>
              </w:rPr>
              <w:t>中标人</w:t>
            </w:r>
            <w:r>
              <w:rPr>
                <w:rFonts w:hint="eastAsia" w:ascii="方正仿宋_GBK" w:hAnsi="方正仿宋_GBK" w:eastAsia="方正仿宋_GBK" w:cs="方正仿宋_GBK"/>
                <w:b w:val="0"/>
                <w:bCs/>
                <w:sz w:val="28"/>
                <w:szCs w:val="28"/>
              </w:rPr>
              <w:t>提供投标产品整车国家级检测报告和型式试验</w:t>
            </w:r>
            <w:r>
              <w:rPr>
                <w:rFonts w:hint="eastAsia" w:ascii="方正仿宋_GBK" w:hAnsi="方正仿宋_GBK" w:eastAsia="方正仿宋_GBK" w:cs="方正仿宋_GBK"/>
                <w:b w:val="0"/>
                <w:bCs/>
                <w:sz w:val="28"/>
                <w:szCs w:val="28"/>
                <w:lang w:eastAsia="zh-CN"/>
              </w:rPr>
              <w:t>证</w:t>
            </w:r>
            <w:r>
              <w:rPr>
                <w:rFonts w:hint="eastAsia" w:ascii="方正仿宋_GBK" w:hAnsi="方正仿宋_GBK" w:eastAsia="方正仿宋_GBK" w:cs="方正仿宋_GBK"/>
                <w:b w:val="0"/>
                <w:bCs/>
                <w:sz w:val="28"/>
                <w:szCs w:val="28"/>
              </w:rPr>
              <w:t>书</w:t>
            </w:r>
            <w:r>
              <w:rPr>
                <w:rFonts w:hint="eastAsia" w:ascii="方正仿宋_GBK" w:hAnsi="方正仿宋_GBK" w:eastAsia="方正仿宋_GBK" w:cs="方正仿宋_GBK"/>
                <w:b w:val="0"/>
                <w:bCs/>
                <w:sz w:val="28"/>
                <w:szCs w:val="28"/>
                <w:lang w:eastAsia="zh-CN"/>
              </w:rPr>
              <w:t>。</w:t>
            </w:r>
          </w:p>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提供座椅国家强制检验报告</w:t>
            </w:r>
            <w:r>
              <w:rPr>
                <w:rFonts w:hint="eastAsia" w:ascii="方正仿宋_GBK" w:hAnsi="方正仿宋_GBK" w:eastAsia="方正仿宋_GBK" w:cs="方正仿宋_GBK"/>
                <w:b w:val="0"/>
                <w:bCs/>
                <w:sz w:val="28"/>
                <w:szCs w:val="28"/>
                <w:lang w:eastAsia="zh-CN"/>
              </w:rPr>
              <w:t>。</w:t>
            </w:r>
          </w:p>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（3）</w:t>
            </w:r>
            <w:r>
              <w:rPr>
                <w:rFonts w:hint="eastAsia" w:ascii="方正仿宋_GBK" w:hAnsi="方正仿宋_GBK" w:eastAsia="方正仿宋_GBK" w:cs="方正仿宋_GBK"/>
                <w:b w:val="0"/>
                <w:bCs/>
                <w:sz w:val="28"/>
                <w:szCs w:val="28"/>
              </w:rPr>
              <w:t>提供电机、电控、电池强制检测报告</w:t>
            </w:r>
            <w:r>
              <w:rPr>
                <w:rFonts w:hint="eastAsia" w:ascii="方正仿宋_GBK" w:hAnsi="方正仿宋_GBK" w:eastAsia="方正仿宋_GBK" w:cs="方正仿宋_GBK"/>
                <w:b w:val="0"/>
                <w:bCs/>
                <w:sz w:val="28"/>
                <w:szCs w:val="28"/>
                <w:lang w:eastAsia="zh-CN"/>
              </w:rPr>
              <w:t>。</w:t>
            </w:r>
          </w:p>
        </w:tc>
        <w:tc>
          <w:tcPr>
            <w:tcW w:w="811"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bl>
    <w:p>
      <w:pPr>
        <w:numPr>
          <w:ilvl w:val="0"/>
          <w:numId w:val="0"/>
        </w:numPr>
        <w:ind w:left="0" w:leftChars="0" w:firstLine="0" w:firstLineChars="0"/>
        <w:rPr>
          <w:rFonts w:hint="eastAsia" w:ascii="黑体" w:hAnsi="黑体" w:eastAsia="黑体" w:cs="黑体"/>
          <w:b w:val="0"/>
          <w:bCs/>
          <w:color w:val="auto"/>
          <w:sz w:val="32"/>
          <w:szCs w:val="32"/>
          <w:lang w:eastAsia="zh-CN"/>
        </w:rPr>
      </w:pPr>
    </w:p>
    <w:p>
      <w:pPr>
        <w:pStyle w:val="2"/>
        <w:rPr>
          <w:rFonts w:hint="eastAsia" w:ascii="黑体" w:hAnsi="黑体" w:eastAsia="黑体" w:cs="黑体"/>
          <w:b w:val="0"/>
          <w:bCs/>
          <w:color w:val="auto"/>
          <w:sz w:val="32"/>
          <w:szCs w:val="32"/>
          <w:lang w:eastAsia="zh-CN"/>
        </w:rPr>
      </w:pPr>
    </w:p>
    <w:p>
      <w:pPr>
        <w:pStyle w:val="2"/>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adjustRightInd w:val="0"/>
        <w:snapToGrid w:val="0"/>
        <w:spacing w:line="560" w:lineRule="exact"/>
        <w:jc w:val="center"/>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25E12"/>
    <w:rsid w:val="037B59E2"/>
    <w:rsid w:val="06225E12"/>
    <w:rsid w:val="14E312BC"/>
    <w:rsid w:val="181B1A20"/>
    <w:rsid w:val="1D75AC13"/>
    <w:rsid w:val="1D986AA0"/>
    <w:rsid w:val="1DE3665C"/>
    <w:rsid w:val="1E347700"/>
    <w:rsid w:val="2E897FF2"/>
    <w:rsid w:val="31F23BF8"/>
    <w:rsid w:val="34620237"/>
    <w:rsid w:val="3D716DC4"/>
    <w:rsid w:val="3FFFDE2D"/>
    <w:rsid w:val="45486814"/>
    <w:rsid w:val="4C733D56"/>
    <w:rsid w:val="4F0CFE95"/>
    <w:rsid w:val="53FC9951"/>
    <w:rsid w:val="5EFBF468"/>
    <w:rsid w:val="5FB50E84"/>
    <w:rsid w:val="5FDC5E32"/>
    <w:rsid w:val="667F67D6"/>
    <w:rsid w:val="66EE220D"/>
    <w:rsid w:val="67FF6D1A"/>
    <w:rsid w:val="68BA5597"/>
    <w:rsid w:val="6DF7BC33"/>
    <w:rsid w:val="6DFB02C8"/>
    <w:rsid w:val="73BC7222"/>
    <w:rsid w:val="75DC5647"/>
    <w:rsid w:val="76DF0C6F"/>
    <w:rsid w:val="77574849"/>
    <w:rsid w:val="78AB16FF"/>
    <w:rsid w:val="7AFBF05F"/>
    <w:rsid w:val="7BFA77F4"/>
    <w:rsid w:val="7C7E3292"/>
    <w:rsid w:val="7D5A42E1"/>
    <w:rsid w:val="7DB71F2A"/>
    <w:rsid w:val="87FD90DB"/>
    <w:rsid w:val="8FFE76B1"/>
    <w:rsid w:val="9732FE0A"/>
    <w:rsid w:val="9BBD8E83"/>
    <w:rsid w:val="9E7C8E11"/>
    <w:rsid w:val="9FC513D7"/>
    <w:rsid w:val="AE7F99AE"/>
    <w:rsid w:val="BBEB50D8"/>
    <w:rsid w:val="BFFCB99C"/>
    <w:rsid w:val="D46E1199"/>
    <w:rsid w:val="DB1F4B76"/>
    <w:rsid w:val="EBEB0C02"/>
    <w:rsid w:val="F2DFDDD8"/>
    <w:rsid w:val="F33BFF30"/>
    <w:rsid w:val="F5AF0206"/>
    <w:rsid w:val="F9725AB0"/>
    <w:rsid w:val="FB7BB077"/>
    <w:rsid w:val="FE7DAE90"/>
    <w:rsid w:val="FFF2DDF7"/>
    <w:rsid w:val="FFF4A642"/>
    <w:rsid w:val="FFFF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toc 7"/>
    <w:basedOn w:val="1"/>
    <w:next w:val="1"/>
    <w:unhideWhenUsed/>
    <w:qFormat/>
    <w:uiPriority w:val="39"/>
    <w:pPr>
      <w:ind w:left="1260"/>
      <w:jc w:val="left"/>
    </w:pPr>
    <w:rPr>
      <w:sz w:val="18"/>
      <w:szCs w:val="18"/>
    </w:rPr>
  </w:style>
  <w:style w:type="paragraph" w:styleId="4">
    <w:name w:val="Normal Indent"/>
    <w:basedOn w:val="1"/>
    <w:next w:val="5"/>
    <w:unhideWhenUsed/>
    <w:qFormat/>
    <w:uiPriority w:val="0"/>
    <w:pPr>
      <w:spacing w:line="360" w:lineRule="auto"/>
      <w:ind w:firstLine="640" w:firstLineChars="200"/>
    </w:pPr>
    <w:rPr>
      <w:rFonts w:ascii="宋体" w:hAnsi="宋体" w:eastAsia="宋体"/>
      <w:sz w:val="21"/>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w:basedOn w:val="1"/>
    <w:next w:val="7"/>
    <w:qFormat/>
    <w:uiPriority w:val="0"/>
    <w:pPr>
      <w:widowControl w:val="0"/>
      <w:snapToGrid w:val="0"/>
      <w:spacing w:line="360" w:lineRule="auto"/>
    </w:pPr>
    <w:rPr>
      <w:rFonts w:ascii="Arial" w:hAnsi="Arial" w:eastAsia="仿宋_GB2312"/>
      <w:sz w:val="31"/>
    </w:rPr>
  </w:style>
  <w:style w:type="paragraph" w:styleId="7">
    <w:name w:val="Title"/>
    <w:basedOn w:val="1"/>
    <w:next w:val="1"/>
    <w:qFormat/>
    <w:uiPriority w:val="0"/>
    <w:pPr>
      <w:spacing w:before="240" w:after="60"/>
      <w:jc w:val="center"/>
      <w:outlineLvl w:val="0"/>
    </w:pPr>
    <w:rPr>
      <w:rFonts w:ascii="等线 Light" w:hAnsi="等线 Light" w:eastAsia="等线 Light"/>
      <w:b/>
      <w:bCs/>
      <w:sz w:val="32"/>
      <w:szCs w:val="32"/>
    </w:rPr>
  </w:style>
  <w:style w:type="paragraph" w:styleId="8">
    <w:name w:val="Body Text Indent"/>
    <w:basedOn w:val="1"/>
    <w:next w:val="9"/>
    <w:qFormat/>
    <w:uiPriority w:val="0"/>
    <w:pPr>
      <w:widowControl w:val="0"/>
      <w:spacing w:after="120" w:line="240" w:lineRule="auto"/>
      <w:ind w:left="200" w:leftChars="200"/>
      <w:textAlignment w:val="auto"/>
    </w:pPr>
    <w:rPr>
      <w:color w:val="auto"/>
      <w:kern w:val="2"/>
      <w:szCs w:val="24"/>
    </w:rPr>
  </w:style>
  <w:style w:type="paragraph" w:styleId="9">
    <w:name w:val="Body Text First Indent 2"/>
    <w:basedOn w:val="8"/>
    <w:next w:val="4"/>
    <w:qFormat/>
    <w:uiPriority w:val="0"/>
    <w:pPr>
      <w:spacing w:line="360" w:lineRule="auto"/>
      <w:ind w:firstLine="200" w:firstLineChars="200"/>
    </w:pPr>
    <w:rPr>
      <w:rFonts w:ascii="宋体"/>
      <w:szCs w:val="20"/>
    </w:rPr>
  </w:style>
  <w:style w:type="paragraph" w:styleId="10">
    <w:name w:val="Balloon Text"/>
    <w:basedOn w:val="1"/>
    <w:semiHidden/>
    <w:qFormat/>
    <w:uiPriority w:val="0"/>
    <w:rPr>
      <w:sz w:val="18"/>
      <w:szCs w:val="18"/>
    </w:rPr>
  </w:style>
  <w:style w:type="paragraph" w:styleId="11">
    <w:name w:val="envelope return"/>
    <w:basedOn w:val="1"/>
    <w:next w:val="3"/>
    <w:qFormat/>
    <w:uiPriority w:val="0"/>
    <w:pPr>
      <w:snapToGrid w:val="0"/>
    </w:pPr>
    <w:rPr>
      <w:rFonts w:ascii="Arial" w:hAnsi="Arial"/>
    </w:rPr>
  </w:style>
  <w:style w:type="paragraph" w:styleId="12">
    <w:name w:val="Normal (Web)"/>
    <w:basedOn w:val="1"/>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标题2"/>
    <w:next w:val="1"/>
    <w:qFormat/>
    <w:uiPriority w:val="0"/>
    <w:pPr>
      <w:wordWrap w:val="0"/>
    </w:pPr>
    <w:rPr>
      <w:rFonts w:ascii="Times New Roman" w:hAnsi="Times New Roman" w:eastAsia="宋体" w:cs="Times New Roman"/>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2023-11-29T07:30:00Z</dcterms:created>
  <dc:creator>彭亮</dc:creator>
  <cp:lastModifiedBy>郑锦婷</cp:lastModifiedBy>
  <dcterms:modified xsi:type="dcterms:W3CDTF">2024-05-10T16:13:12Z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3D4A4E9F5B6520C318D73D667E81F07D</vt:lpwstr>
  </property>
</Properties>
</file>