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50" w:lineRule="atLeast"/>
        <w:jc w:val="left"/>
        <w:outlineLvl w:val="1"/>
        <w:rPr>
          <w:rFonts w:hint="eastAsia" w:ascii="方正黑体_GBK" w:hAnsi="方正黑体_GBK" w:eastAsia="方正黑体_GBK" w:cs="方正黑体_GBK"/>
          <w:b w:val="0"/>
          <w:bCs/>
          <w:kern w:val="0"/>
          <w:sz w:val="32"/>
          <w:szCs w:val="32"/>
        </w:rPr>
      </w:pPr>
      <w:bookmarkStart w:id="0" w:name="_GoBack"/>
      <w:r>
        <w:rPr>
          <w:rFonts w:hint="eastAsia" w:ascii="方正黑体_GBK" w:hAnsi="方正黑体_GBK" w:eastAsia="方正黑体_GBK" w:cs="方正黑体_GBK"/>
          <w:b w:val="0"/>
          <w:bCs/>
          <w:kern w:val="0"/>
          <w:sz w:val="32"/>
          <w:szCs w:val="32"/>
        </w:rPr>
        <w:t>附件</w:t>
      </w:r>
      <w:r>
        <w:rPr>
          <w:rFonts w:hint="eastAsia" w:ascii="方正黑体_GBK" w:hAnsi="方正黑体_GBK" w:eastAsia="方正黑体_GBK" w:cs="方正黑体_GBK"/>
          <w:b w:val="0"/>
          <w:bCs/>
          <w:kern w:val="0"/>
          <w:sz w:val="32"/>
          <w:szCs w:val="32"/>
        </w:rPr>
        <w:t>3</w:t>
      </w:r>
    </w:p>
    <w:bookmarkEnd w:id="0"/>
    <w:p>
      <w:pPr>
        <w:spacing w:line="450" w:lineRule="atLeast"/>
        <w:jc w:val="center"/>
        <w:outlineLvl w:val="1"/>
        <w:rPr>
          <w:rFonts w:cs="宋体" w:asciiTheme="majorEastAsia" w:hAnsiTheme="majorEastAsia" w:eastAsiaTheme="majorEastAsia"/>
          <w:b/>
          <w:kern w:val="0"/>
          <w:sz w:val="36"/>
          <w:szCs w:val="36"/>
        </w:rPr>
      </w:pPr>
    </w:p>
    <w:p>
      <w:pPr>
        <w:spacing w:line="450" w:lineRule="atLeast"/>
        <w:jc w:val="center"/>
        <w:outlineLvl w:val="1"/>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t>深圳市救助管理站</w:t>
      </w:r>
      <w:r>
        <w:rPr>
          <w:rFonts w:hint="eastAsia" w:cs="宋体" w:asciiTheme="majorEastAsia" w:hAnsiTheme="majorEastAsia" w:eastAsiaTheme="majorEastAsia"/>
          <w:b/>
          <w:kern w:val="0"/>
          <w:sz w:val="36"/>
          <w:szCs w:val="36"/>
        </w:rPr>
        <w:t>2024年度“受助人员生活照料及陪护人力资源保障”</w:t>
      </w:r>
      <w:r>
        <w:rPr>
          <w:rFonts w:cs="宋体" w:asciiTheme="majorEastAsia" w:hAnsiTheme="majorEastAsia" w:eastAsiaTheme="majorEastAsia"/>
          <w:b/>
          <w:kern w:val="0"/>
          <w:sz w:val="36"/>
          <w:szCs w:val="36"/>
        </w:rPr>
        <w:t>项目</w:t>
      </w:r>
      <w:r>
        <w:rPr>
          <w:rFonts w:hint="eastAsia" w:cs="宋体" w:asciiTheme="majorEastAsia" w:hAnsiTheme="majorEastAsia" w:eastAsiaTheme="majorEastAsia"/>
          <w:b/>
          <w:kern w:val="0"/>
          <w:sz w:val="36"/>
          <w:szCs w:val="36"/>
        </w:rPr>
        <w:t>报价表</w:t>
      </w:r>
    </w:p>
    <w:p>
      <w:pPr>
        <w:spacing w:line="450" w:lineRule="atLeast"/>
        <w:jc w:val="center"/>
        <w:outlineLvl w:val="1"/>
        <w:rPr>
          <w:rFonts w:cs="宋体" w:asciiTheme="majorEastAsia" w:hAnsiTheme="majorEastAsia" w:eastAsiaTheme="majorEastAsia"/>
          <w:b/>
          <w:kern w:val="0"/>
          <w:sz w:val="36"/>
          <w:szCs w:val="36"/>
        </w:rPr>
      </w:pPr>
    </w:p>
    <w:tbl>
      <w:tblPr>
        <w:tblStyle w:val="3"/>
        <w:tblW w:w="10197" w:type="dxa"/>
        <w:tblInd w:w="-875" w:type="dxa"/>
        <w:tblLayout w:type="autofit"/>
        <w:tblCellMar>
          <w:top w:w="15" w:type="dxa"/>
          <w:left w:w="15" w:type="dxa"/>
          <w:bottom w:w="15" w:type="dxa"/>
          <w:right w:w="15" w:type="dxa"/>
        </w:tblCellMar>
      </w:tblPr>
      <w:tblGrid>
        <w:gridCol w:w="2132"/>
        <w:gridCol w:w="816"/>
        <w:gridCol w:w="3402"/>
        <w:gridCol w:w="1701"/>
        <w:gridCol w:w="2146"/>
      </w:tblGrid>
      <w:tr>
        <w:tblPrEx>
          <w:tblCellMar>
            <w:top w:w="15" w:type="dxa"/>
            <w:left w:w="15" w:type="dxa"/>
            <w:bottom w:w="15" w:type="dxa"/>
            <w:right w:w="15" w:type="dxa"/>
          </w:tblCellMar>
        </w:tblPrEx>
        <w:trPr>
          <w:trHeight w:val="942" w:hRule="atLeast"/>
        </w:trPr>
        <w:tc>
          <w:tcPr>
            <w:tcW w:w="2132" w:type="dxa"/>
            <w:tcBorders>
              <w:top w:val="single" w:color="auto" w:sz="8" w:space="0"/>
              <w:left w:val="single" w:color="auto" w:sz="8" w:space="0"/>
              <w:bottom w:val="single" w:color="auto" w:sz="8" w:space="0"/>
              <w:right w:val="single" w:color="auto" w:sz="8" w:space="0"/>
            </w:tcBorders>
            <w:shd w:val="clear" w:color="auto" w:fill="EEECE1"/>
            <w:tcMar>
              <w:top w:w="0" w:type="dxa"/>
              <w:left w:w="108" w:type="dxa"/>
              <w:bottom w:w="0" w:type="dxa"/>
              <w:right w:w="108" w:type="dxa"/>
            </w:tcMar>
            <w:vAlign w:val="center"/>
          </w:tcPr>
          <w:p>
            <w:pPr>
              <w:jc w:val="center"/>
              <w:rPr>
                <w:rFonts w:ascii="仿宋_GB2312" w:hAnsi="宋体" w:eastAsia="仿宋_GB2312" w:cs="宋体"/>
                <w:b/>
                <w:color w:val="444444"/>
                <w:kern w:val="0"/>
                <w:sz w:val="24"/>
                <w:szCs w:val="24"/>
              </w:rPr>
            </w:pPr>
            <w:r>
              <w:rPr>
                <w:rFonts w:hint="eastAsia" w:ascii="仿宋_GB2312" w:hAnsi="宋体" w:eastAsia="仿宋_GB2312" w:cs="宋体"/>
                <w:b/>
                <w:color w:val="444444"/>
                <w:kern w:val="0"/>
                <w:sz w:val="24"/>
                <w:szCs w:val="24"/>
              </w:rPr>
              <w:t>采购内容</w:t>
            </w:r>
          </w:p>
        </w:tc>
        <w:tc>
          <w:tcPr>
            <w:tcW w:w="816" w:type="dxa"/>
            <w:tcBorders>
              <w:top w:val="single" w:color="auto" w:sz="8" w:space="0"/>
              <w:left w:val="single" w:color="auto" w:sz="8" w:space="0"/>
              <w:bottom w:val="single" w:color="auto" w:sz="8" w:space="0"/>
              <w:right w:val="single" w:color="auto" w:sz="8" w:space="0"/>
            </w:tcBorders>
            <w:shd w:val="clear" w:color="auto" w:fill="EEECE1"/>
            <w:tcMar>
              <w:top w:w="0" w:type="dxa"/>
              <w:left w:w="108" w:type="dxa"/>
              <w:bottom w:w="0" w:type="dxa"/>
              <w:right w:w="108" w:type="dxa"/>
            </w:tcMar>
            <w:vAlign w:val="center"/>
          </w:tcPr>
          <w:p>
            <w:pPr>
              <w:jc w:val="center"/>
              <w:rPr>
                <w:rFonts w:ascii="仿宋_GB2312" w:hAnsi="宋体" w:eastAsia="仿宋_GB2312" w:cs="宋体"/>
                <w:b/>
                <w:color w:val="444444"/>
                <w:kern w:val="0"/>
                <w:sz w:val="24"/>
                <w:szCs w:val="24"/>
              </w:rPr>
            </w:pPr>
            <w:r>
              <w:rPr>
                <w:rFonts w:hint="eastAsia" w:ascii="仿宋_GB2312" w:hAnsi="宋体" w:eastAsia="仿宋_GB2312" w:cs="宋体"/>
                <w:b/>
                <w:color w:val="444444"/>
                <w:kern w:val="0"/>
                <w:sz w:val="24"/>
                <w:szCs w:val="24"/>
              </w:rPr>
              <w:t>数量</w:t>
            </w:r>
          </w:p>
        </w:tc>
        <w:tc>
          <w:tcPr>
            <w:tcW w:w="3402" w:type="dxa"/>
            <w:tcBorders>
              <w:top w:val="single" w:color="auto" w:sz="8" w:space="0"/>
              <w:left w:val="single" w:color="auto" w:sz="8" w:space="0"/>
              <w:bottom w:val="single" w:color="auto" w:sz="8" w:space="0"/>
              <w:right w:val="single" w:color="auto" w:sz="8" w:space="0"/>
            </w:tcBorders>
            <w:shd w:val="clear" w:color="auto" w:fill="EEECE1"/>
            <w:tcMar>
              <w:top w:w="0" w:type="dxa"/>
              <w:left w:w="108" w:type="dxa"/>
              <w:bottom w:w="0" w:type="dxa"/>
              <w:right w:w="108" w:type="dxa"/>
            </w:tcMar>
            <w:vAlign w:val="center"/>
          </w:tcPr>
          <w:p>
            <w:pPr>
              <w:jc w:val="center"/>
              <w:rPr>
                <w:rFonts w:ascii="仿宋_GB2312" w:hAnsi="宋体" w:eastAsia="仿宋_GB2312" w:cs="宋体"/>
                <w:b/>
                <w:color w:val="444444"/>
                <w:kern w:val="0"/>
                <w:sz w:val="24"/>
                <w:szCs w:val="24"/>
              </w:rPr>
            </w:pPr>
            <w:r>
              <w:rPr>
                <w:rFonts w:hint="eastAsia" w:ascii="仿宋_GB2312" w:hAnsi="宋体" w:eastAsia="仿宋_GB2312" w:cs="宋体"/>
                <w:b/>
                <w:color w:val="444444"/>
                <w:kern w:val="0"/>
                <w:sz w:val="24"/>
                <w:szCs w:val="24"/>
              </w:rPr>
              <w:t>服务期</w:t>
            </w:r>
          </w:p>
        </w:tc>
        <w:tc>
          <w:tcPr>
            <w:tcW w:w="1701" w:type="dxa"/>
            <w:tcBorders>
              <w:top w:val="single" w:color="auto" w:sz="8" w:space="0"/>
              <w:left w:val="single" w:color="auto" w:sz="8" w:space="0"/>
              <w:bottom w:val="single" w:color="auto" w:sz="8" w:space="0"/>
              <w:right w:val="single" w:color="auto" w:sz="8" w:space="0"/>
            </w:tcBorders>
            <w:shd w:val="clear" w:color="auto" w:fill="EEECE1"/>
            <w:tcMar>
              <w:top w:w="0" w:type="dxa"/>
              <w:left w:w="108" w:type="dxa"/>
              <w:bottom w:w="0" w:type="dxa"/>
              <w:right w:w="108" w:type="dxa"/>
            </w:tcMar>
            <w:vAlign w:val="center"/>
          </w:tcPr>
          <w:p>
            <w:pPr>
              <w:jc w:val="center"/>
              <w:rPr>
                <w:rFonts w:ascii="仿宋_GB2312" w:hAnsi="宋体" w:eastAsia="仿宋_GB2312" w:cs="宋体"/>
                <w:b/>
                <w:color w:val="444444"/>
                <w:kern w:val="0"/>
                <w:sz w:val="24"/>
                <w:szCs w:val="24"/>
              </w:rPr>
            </w:pPr>
            <w:r>
              <w:rPr>
                <w:rFonts w:hint="eastAsia" w:ascii="仿宋_GB2312" w:hAnsi="宋体" w:eastAsia="仿宋_GB2312" w:cs="宋体"/>
                <w:b/>
                <w:color w:val="444444"/>
                <w:kern w:val="0"/>
                <w:sz w:val="24"/>
                <w:szCs w:val="24"/>
              </w:rPr>
              <w:t>管理费年度最高支付上限</w:t>
            </w:r>
          </w:p>
        </w:tc>
        <w:tc>
          <w:tcPr>
            <w:tcW w:w="2146" w:type="dxa"/>
            <w:tcBorders>
              <w:top w:val="single" w:color="auto" w:sz="8" w:space="0"/>
              <w:left w:val="single" w:color="auto" w:sz="8" w:space="0"/>
              <w:bottom w:val="single" w:color="auto" w:sz="8" w:space="0"/>
              <w:right w:val="single" w:color="auto" w:sz="8" w:space="0"/>
            </w:tcBorders>
            <w:shd w:val="clear" w:color="auto" w:fill="EEECE1"/>
            <w:tcMar>
              <w:top w:w="0" w:type="dxa"/>
              <w:left w:w="108" w:type="dxa"/>
              <w:bottom w:w="0" w:type="dxa"/>
              <w:right w:w="108" w:type="dxa"/>
            </w:tcMar>
            <w:vAlign w:val="center"/>
          </w:tcPr>
          <w:p>
            <w:pPr>
              <w:jc w:val="center"/>
              <w:rPr>
                <w:rFonts w:ascii="仿宋_GB2312" w:hAnsi="宋体" w:eastAsia="仿宋_GB2312" w:cs="宋体"/>
                <w:b/>
                <w:color w:val="444444"/>
                <w:kern w:val="0"/>
                <w:sz w:val="24"/>
                <w:szCs w:val="24"/>
              </w:rPr>
            </w:pPr>
            <w:r>
              <w:rPr>
                <w:rFonts w:hint="eastAsia" w:ascii="仿宋_GB2312" w:hAnsi="宋体" w:eastAsia="仿宋_GB2312" w:cs="宋体"/>
                <w:b/>
                <w:color w:val="444444"/>
                <w:kern w:val="0"/>
                <w:sz w:val="24"/>
                <w:szCs w:val="24"/>
              </w:rPr>
              <w:t>供应商报价</w:t>
            </w:r>
          </w:p>
        </w:tc>
      </w:tr>
      <w:tr>
        <w:tblPrEx>
          <w:tblCellMar>
            <w:top w:w="15" w:type="dxa"/>
            <w:left w:w="15" w:type="dxa"/>
            <w:bottom w:w="15" w:type="dxa"/>
            <w:right w:w="15" w:type="dxa"/>
          </w:tblCellMar>
        </w:tblPrEx>
        <w:trPr>
          <w:trHeight w:val="4514" w:hRule="atLeast"/>
        </w:trPr>
        <w:tc>
          <w:tcPr>
            <w:tcW w:w="2132" w:type="dxa"/>
            <w:tcBorders>
              <w:top w:val="single" w:color="auto" w:sz="8" w:space="0"/>
              <w:left w:val="single" w:color="auto" w:sz="8" w:space="0"/>
              <w:bottom w:val="single" w:color="auto" w:sz="8" w:space="0"/>
              <w:right w:val="single" w:color="auto" w:sz="8" w:space="0"/>
            </w:tcBorders>
            <w:shd w:val="clear" w:color="auto" w:fill="EEECE1"/>
            <w:tcMar>
              <w:top w:w="0" w:type="dxa"/>
              <w:left w:w="108" w:type="dxa"/>
              <w:bottom w:w="0" w:type="dxa"/>
              <w:right w:w="108" w:type="dxa"/>
            </w:tcMar>
            <w:vAlign w:val="center"/>
          </w:tcPr>
          <w:p>
            <w:pPr>
              <w:jc w:val="center"/>
              <w:rPr>
                <w:rFonts w:ascii="仿宋_GB2312" w:hAnsi="宋体" w:eastAsia="仿宋_GB2312" w:cs="宋体"/>
                <w:color w:val="444444"/>
                <w:kern w:val="0"/>
                <w:sz w:val="24"/>
                <w:szCs w:val="24"/>
              </w:rPr>
            </w:pPr>
            <w:r>
              <w:rPr>
                <w:rFonts w:hint="eastAsia" w:ascii="仿宋_GB2312" w:hAnsi="宋体" w:eastAsia="仿宋_GB2312" w:cs="宋体"/>
                <w:color w:val="444444"/>
                <w:kern w:val="0"/>
                <w:sz w:val="24"/>
                <w:szCs w:val="24"/>
              </w:rPr>
              <w:t>深圳市救助管理站2024年度“受助人员生活照料及陪护人力资源保障”</w:t>
            </w:r>
          </w:p>
        </w:tc>
        <w:tc>
          <w:tcPr>
            <w:tcW w:w="816" w:type="dxa"/>
            <w:tcBorders>
              <w:top w:val="single" w:color="auto" w:sz="8" w:space="0"/>
              <w:left w:val="single" w:color="auto" w:sz="8" w:space="0"/>
              <w:bottom w:val="single" w:color="auto" w:sz="8" w:space="0"/>
              <w:right w:val="single" w:color="auto" w:sz="8" w:space="0"/>
            </w:tcBorders>
            <w:shd w:val="clear" w:color="auto" w:fill="EEECE1"/>
            <w:tcMar>
              <w:top w:w="0" w:type="dxa"/>
              <w:left w:w="108" w:type="dxa"/>
              <w:bottom w:w="0" w:type="dxa"/>
              <w:right w:w="108" w:type="dxa"/>
            </w:tcMar>
            <w:vAlign w:val="center"/>
          </w:tcPr>
          <w:p>
            <w:pPr>
              <w:jc w:val="center"/>
              <w:rPr>
                <w:rFonts w:ascii="仿宋_GB2312" w:hAnsi="宋体" w:eastAsia="仿宋_GB2312" w:cs="宋体"/>
                <w:color w:val="444444"/>
                <w:kern w:val="0"/>
                <w:sz w:val="24"/>
                <w:szCs w:val="24"/>
              </w:rPr>
            </w:pPr>
            <w:r>
              <w:rPr>
                <w:rFonts w:hint="eastAsia" w:ascii="仿宋_GB2312" w:hAnsi="宋体" w:eastAsia="仿宋_GB2312" w:cs="宋体"/>
                <w:color w:val="444444"/>
                <w:kern w:val="0"/>
                <w:sz w:val="24"/>
                <w:szCs w:val="24"/>
              </w:rPr>
              <w:t>1</w:t>
            </w:r>
          </w:p>
        </w:tc>
        <w:tc>
          <w:tcPr>
            <w:tcW w:w="3402" w:type="dxa"/>
            <w:tcBorders>
              <w:top w:val="single" w:color="auto" w:sz="8" w:space="0"/>
              <w:left w:val="single" w:color="auto" w:sz="8" w:space="0"/>
              <w:bottom w:val="single" w:color="auto" w:sz="8" w:space="0"/>
              <w:right w:val="single" w:color="auto" w:sz="8" w:space="0"/>
            </w:tcBorders>
            <w:shd w:val="clear" w:color="auto" w:fill="EEECE1"/>
            <w:tcMar>
              <w:top w:w="0" w:type="dxa"/>
              <w:left w:w="108" w:type="dxa"/>
              <w:bottom w:w="0" w:type="dxa"/>
              <w:right w:w="108" w:type="dxa"/>
            </w:tcMar>
            <w:vAlign w:val="center"/>
          </w:tcPr>
          <w:p>
            <w:pPr>
              <w:ind w:firstLine="480" w:firstLineChars="200"/>
              <w:rPr>
                <w:rFonts w:ascii="仿宋_GB2312" w:hAnsi="宋体" w:eastAsia="仿宋_GB2312" w:cs="宋体"/>
                <w:color w:val="444444"/>
                <w:kern w:val="0"/>
                <w:sz w:val="24"/>
                <w:szCs w:val="24"/>
              </w:rPr>
            </w:pPr>
            <w:r>
              <w:rPr>
                <w:rFonts w:hint="eastAsia" w:ascii="仿宋_GB2312" w:hAnsi="宋体" w:eastAsia="仿宋_GB2312" w:cs="宋体"/>
                <w:color w:val="444444"/>
                <w:kern w:val="0"/>
                <w:sz w:val="24"/>
                <w:szCs w:val="24"/>
              </w:rPr>
              <w:t>确定中标人后，双方必须按要求签订采购合同，服务期限为自合同签订之日起1年。如果中标人不能按合同要求履约，采购人有权终止合同。合同期满后，采购人可根据项目需要和中标人履约情况单方确定合同期限是否续期，但项目服务期最长不超过36个月。（如因采购单位2025年度预算项目调整等原因需重新招标提前终止合同，中标供应商需无条件配合。）</w:t>
            </w:r>
          </w:p>
          <w:p>
            <w:pPr>
              <w:jc w:val="center"/>
              <w:rPr>
                <w:rFonts w:hint="eastAsia" w:ascii="仿宋_GB2312" w:hAnsi="宋体" w:eastAsia="仿宋_GB2312" w:cs="宋体"/>
                <w:color w:val="444444"/>
                <w:kern w:val="0"/>
                <w:sz w:val="24"/>
                <w:szCs w:val="24"/>
              </w:rPr>
            </w:pPr>
          </w:p>
        </w:tc>
        <w:tc>
          <w:tcPr>
            <w:tcW w:w="1701" w:type="dxa"/>
            <w:tcBorders>
              <w:top w:val="single" w:color="auto" w:sz="8" w:space="0"/>
              <w:left w:val="single" w:color="auto" w:sz="8" w:space="0"/>
              <w:bottom w:val="single" w:color="auto" w:sz="8" w:space="0"/>
              <w:right w:val="single" w:color="auto" w:sz="8" w:space="0"/>
            </w:tcBorders>
            <w:shd w:val="clear" w:color="auto" w:fill="EEECE1"/>
            <w:tcMar>
              <w:top w:w="0" w:type="dxa"/>
              <w:left w:w="108" w:type="dxa"/>
              <w:bottom w:w="0" w:type="dxa"/>
              <w:right w:w="108" w:type="dxa"/>
            </w:tcMar>
            <w:vAlign w:val="center"/>
          </w:tcPr>
          <w:p>
            <w:pPr>
              <w:rPr>
                <w:rFonts w:ascii="仿宋_GB2312" w:hAnsi="宋体" w:eastAsia="仿宋_GB2312" w:cs="宋体"/>
                <w:color w:val="444444"/>
                <w:kern w:val="0"/>
                <w:sz w:val="24"/>
                <w:szCs w:val="24"/>
              </w:rPr>
            </w:pPr>
            <w:r>
              <w:rPr>
                <w:rFonts w:hint="eastAsia" w:ascii="仿宋_GB2312" w:hAnsi="宋体" w:eastAsia="仿宋_GB2312" w:cs="宋体"/>
                <w:color w:val="444444"/>
                <w:kern w:val="0"/>
                <w:sz w:val="24"/>
                <w:szCs w:val="24"/>
              </w:rPr>
              <w:t>人民币17.4960万元</w:t>
            </w:r>
          </w:p>
        </w:tc>
        <w:tc>
          <w:tcPr>
            <w:tcW w:w="2146" w:type="dxa"/>
            <w:tcBorders>
              <w:top w:val="single" w:color="auto" w:sz="8" w:space="0"/>
              <w:left w:val="single" w:color="auto" w:sz="8" w:space="0"/>
              <w:bottom w:val="single" w:color="auto" w:sz="8" w:space="0"/>
              <w:right w:val="single" w:color="auto" w:sz="8" w:space="0"/>
            </w:tcBorders>
            <w:shd w:val="clear" w:color="auto" w:fill="EEECE1"/>
            <w:tcMar>
              <w:top w:w="0" w:type="dxa"/>
              <w:left w:w="108" w:type="dxa"/>
              <w:bottom w:w="0" w:type="dxa"/>
              <w:right w:w="108" w:type="dxa"/>
            </w:tcMar>
            <w:vAlign w:val="center"/>
          </w:tcPr>
          <w:p>
            <w:pPr>
              <w:rPr>
                <w:rFonts w:ascii="仿宋_GB2312" w:hAnsi="宋体" w:eastAsia="仿宋_GB2312" w:cs="宋体"/>
                <w:color w:val="444444"/>
                <w:kern w:val="0"/>
                <w:sz w:val="24"/>
                <w:szCs w:val="24"/>
              </w:rPr>
            </w:pPr>
          </w:p>
        </w:tc>
      </w:tr>
    </w:tbl>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Cambria">
    <w:altName w:val="FreeSerif"/>
    <w:panose1 w:val="02040503050406030204"/>
    <w:charset w:val="00"/>
    <w:family w:val="roman"/>
    <w:pitch w:val="default"/>
    <w:sig w:usb0="00000000" w:usb1="00000000" w:usb2="00000000" w:usb3="00000000" w:csb0="0000019F" w:csb1="00000000"/>
  </w:font>
  <w:font w:name="FreeSerif">
    <w:panose1 w:val="02020603050405020304"/>
    <w:charset w:val="00"/>
    <w:family w:val="auto"/>
    <w:pitch w:val="default"/>
    <w:sig w:usb0="E59FAFFF" w:usb1="C200FDFF" w:usb2="43501B29" w:usb3="04000043" w:csb0="6001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MathJax_Vector">
    <w:panose1 w:val="02000603000000000000"/>
    <w:charset w:val="00"/>
    <w:family w:val="auto"/>
    <w:pitch w:val="default"/>
    <w:sig w:usb0="00000001" w:usb1="00000020" w:usb2="00000000" w:usb3="00000000" w:csb0="00000001" w:csb1="00000000"/>
  </w:font>
  <w:font w:name="方正黑体_GBK">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9C1"/>
    <w:rsid w:val="00026244"/>
    <w:rsid w:val="00106C7E"/>
    <w:rsid w:val="00376FD7"/>
    <w:rsid w:val="005079C1"/>
    <w:rsid w:val="00567A88"/>
    <w:rsid w:val="00951C89"/>
    <w:rsid w:val="00AD7535"/>
    <w:rsid w:val="00EF7E7E"/>
    <w:rsid w:val="6BFDADD5"/>
    <w:rsid w:val="6FFF6546"/>
    <w:rsid w:val="6FFFA8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00" w:lineRule="exact"/>
    </w:pPr>
    <w:rPr>
      <w:rFonts w:asciiTheme="minorHAnsi" w:hAnsiTheme="minorHAnsi" w:eastAsiaTheme="minorEastAsia" w:cstheme="minorBidi"/>
      <w:kern w:val="2"/>
      <w:sz w:val="21"/>
      <w:szCs w:val="21"/>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link w:val="5"/>
    <w:qFormat/>
    <w:uiPriority w:val="0"/>
    <w:pPr>
      <w:spacing w:before="240" w:after="60" w:line="260" w:lineRule="exact"/>
      <w:jc w:val="center"/>
      <w:outlineLvl w:val="0"/>
    </w:pPr>
    <w:rPr>
      <w:rFonts w:eastAsia="宋体" w:asciiTheme="majorHAnsi" w:hAnsiTheme="majorHAnsi" w:cstheme="majorBidi"/>
      <w:b/>
      <w:bCs/>
      <w:sz w:val="32"/>
      <w:szCs w:val="32"/>
    </w:rPr>
  </w:style>
  <w:style w:type="character" w:customStyle="1" w:styleId="5">
    <w:name w:val="标题 Char"/>
    <w:basedOn w:val="4"/>
    <w:link w:val="2"/>
    <w:qFormat/>
    <w:uiPriority w:val="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Chinese ORG</Company>
  <Pages>1</Pages>
  <Words>42</Words>
  <Characters>246</Characters>
  <Lines>2</Lines>
  <Paragraphs>1</Paragraphs>
  <TotalTime>7</TotalTime>
  <ScaleCrop>false</ScaleCrop>
  <LinksUpToDate>false</LinksUpToDate>
  <CharactersWithSpaces>287</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2024-02-27T19:06:00Z</dcterms:created>
  <dc:creator>chenyu0627</dc:creator>
  <cp:lastModifiedBy>市救助管理站</cp:lastModifiedBy>
  <dcterms:modified xsi:type="dcterms:W3CDTF">2024-03-01T16:48:07Z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FE4B812B77B8BB9B4496E16594E7D62A</vt:lpwstr>
  </property>
</Properties>
</file>