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pBdr>
          <w:top w:val="none" w:color="000000" w:sz="0" w:space="0"/>
          <w:left w:val="none" w:color="000000" w:sz="0" w:space="0"/>
          <w:bottom w:val="none" w:color="000000" w:sz="0" w:space="21"/>
          <w:right w:val="none" w:color="000000" w:sz="0" w:space="10"/>
        </w:pBdr>
        <w:kinsoku/>
        <w:wordWrap/>
        <w:overflowPunct/>
        <w:topLinePunct w:val="0"/>
        <w:autoSpaceDE/>
        <w:autoSpaceDN/>
        <w:bidi w:val="0"/>
        <w:adjustRightInd w:val="0"/>
        <w:snapToGrid w:val="0"/>
        <w:spacing w:after="157" w:afterLines="50" w:line="400" w:lineRule="exact"/>
        <w:ind w:firstLine="0" w:firstLineChars="0"/>
        <w:jc w:val="center"/>
        <w:textAlignment w:val="auto"/>
        <w:outlineLvl w:val="9"/>
        <w:rPr>
          <w:rFonts w:hint="eastAsia" w:ascii="方正小标宋简体" w:hAnsi="方正小标宋简体" w:eastAsia="方正小标宋简体" w:cs="方正小标宋简体"/>
          <w:snapToGrid w:val="0"/>
          <w:kern w:val="0"/>
          <w:sz w:val="32"/>
          <w:szCs w:val="32"/>
        </w:rPr>
      </w:pPr>
      <w:bookmarkStart w:id="0" w:name="_GoBack"/>
      <w:r>
        <w:rPr>
          <w:rFonts w:hint="eastAsia" w:ascii="仿宋_GB2312" w:hAnsi="仿宋_GB2312" w:eastAsia="黑体" w:cs="黑体"/>
          <w:sz w:val="32"/>
          <w:szCs w:val="32"/>
          <w:lang w:val="en-US" w:eastAsia="zh-CN"/>
        </w:rPr>
        <w:t>深圳市民政事业发展</w:t>
      </w:r>
      <w:r>
        <w:rPr>
          <w:rFonts w:hint="eastAsia" w:ascii="黑体" w:hAnsi="黑体" w:eastAsia="黑体" w:cs="黑体"/>
          <w:sz w:val="32"/>
          <w:szCs w:val="32"/>
          <w:lang w:val="en-US" w:eastAsia="zh-CN"/>
        </w:rPr>
        <w:t>“十四五</w:t>
      </w:r>
      <w:r>
        <w:rPr>
          <w:rFonts w:hint="eastAsia" w:ascii="仿宋_GB2312" w:hAnsi="仿宋_GB2312" w:eastAsia="黑体" w:cs="黑体"/>
          <w:sz w:val="32"/>
          <w:szCs w:val="32"/>
          <w:lang w:val="en-US" w:eastAsia="zh-CN"/>
        </w:rPr>
        <w:t>”</w:t>
      </w:r>
      <w:r>
        <w:rPr>
          <w:rFonts w:hint="default" w:ascii="仿宋_GB2312" w:hAnsi="仿宋_GB2312" w:eastAsia="黑体" w:cs="黑体"/>
          <w:sz w:val="32"/>
          <w:szCs w:val="32"/>
          <w:lang w:eastAsia="zh-CN"/>
        </w:rPr>
        <w:t>规划</w:t>
      </w:r>
      <w:r>
        <w:rPr>
          <w:rFonts w:hint="eastAsia" w:ascii="仿宋_GB2312" w:hAnsi="仿宋_GB2312" w:eastAsia="黑体" w:cs="黑体"/>
          <w:sz w:val="32"/>
          <w:szCs w:val="32"/>
          <w:lang w:val="en-US" w:eastAsia="zh-CN"/>
        </w:rPr>
        <w:t>主要指标</w:t>
      </w:r>
      <w:r>
        <w:rPr>
          <w:rFonts w:hint="default" w:ascii="仿宋_GB2312" w:hAnsi="仿宋_GB2312" w:eastAsia="黑体" w:cs="黑体"/>
          <w:sz w:val="32"/>
          <w:szCs w:val="32"/>
          <w:lang w:eastAsia="zh-CN"/>
        </w:rPr>
        <w:t>中期执行</w:t>
      </w:r>
      <w:r>
        <w:rPr>
          <w:rFonts w:hint="eastAsia" w:ascii="仿宋_GB2312" w:hAnsi="仿宋_GB2312" w:eastAsia="黑体" w:cs="黑体"/>
          <w:sz w:val="32"/>
          <w:szCs w:val="32"/>
          <w:lang w:val="en-US" w:eastAsia="zh-CN"/>
        </w:rPr>
        <w:t>情况</w:t>
      </w:r>
    </w:p>
    <w:bookmarkEnd w:id="0"/>
    <w:tbl>
      <w:tblPr>
        <w:tblStyle w:val="5"/>
        <w:tblW w:w="51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608"/>
        <w:gridCol w:w="1448"/>
        <w:gridCol w:w="1529"/>
        <w:gridCol w:w="746"/>
        <w:gridCol w:w="938"/>
        <w:gridCol w:w="1577"/>
        <w:gridCol w:w="1481"/>
        <w:gridCol w:w="1578"/>
        <w:gridCol w:w="1275"/>
        <w:gridCol w:w="1129"/>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39" w:type="pct"/>
            <w:shd w:val="clear" w:color="auto" w:fill="auto"/>
            <w:vAlign w:val="center"/>
          </w:tcPr>
          <w:p>
            <w:pPr>
              <w:adjustRightInd w:val="0"/>
              <w:snapToGrid w:val="0"/>
              <w:spacing w:line="240" w:lineRule="exact"/>
              <w:ind w:left="-105" w:leftChars="-50" w:right="-105" w:rightChars="-5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类别</w:t>
            </w:r>
          </w:p>
        </w:tc>
        <w:tc>
          <w:tcPr>
            <w:tcW w:w="198" w:type="pct"/>
            <w:shd w:val="clear" w:color="auto" w:fill="auto"/>
            <w:vAlign w:val="center"/>
          </w:tcPr>
          <w:p>
            <w:pPr>
              <w:adjustRightInd w:val="0"/>
              <w:snapToGrid w:val="0"/>
              <w:spacing w:line="240" w:lineRule="exact"/>
              <w:ind w:left="-105" w:leftChars="-50" w:right="-105" w:rightChars="-5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序号</w:t>
            </w:r>
          </w:p>
        </w:tc>
        <w:tc>
          <w:tcPr>
            <w:tcW w:w="969" w:type="pct"/>
            <w:gridSpan w:val="2"/>
            <w:shd w:val="clear" w:color="auto" w:fill="auto"/>
            <w:noWrap/>
            <w:vAlign w:val="center"/>
          </w:tcPr>
          <w:p>
            <w:pPr>
              <w:adjustRightInd w:val="0"/>
              <w:snapToGrid w:val="0"/>
              <w:spacing w:line="240" w:lineRule="exact"/>
              <w:ind w:left="-105" w:leftChars="-50" w:right="-105" w:rightChars="-5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主要指标</w:t>
            </w:r>
          </w:p>
        </w:tc>
        <w:tc>
          <w:tcPr>
            <w:tcW w:w="243" w:type="pct"/>
            <w:shd w:val="clear" w:color="auto" w:fill="auto"/>
            <w:noWrap/>
            <w:vAlign w:val="center"/>
          </w:tcPr>
          <w:p>
            <w:pPr>
              <w:adjustRightInd w:val="0"/>
              <w:snapToGrid w:val="0"/>
              <w:spacing w:line="240" w:lineRule="exact"/>
              <w:ind w:left="-105" w:leftChars="-50" w:right="-105" w:rightChars="-5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单位</w:t>
            </w:r>
          </w:p>
        </w:tc>
        <w:tc>
          <w:tcPr>
            <w:tcW w:w="305" w:type="pct"/>
            <w:shd w:val="clear" w:color="auto" w:fill="auto"/>
            <w:noWrap/>
            <w:vAlign w:val="center"/>
          </w:tcPr>
          <w:p>
            <w:pPr>
              <w:adjustRightInd w:val="0"/>
              <w:snapToGrid w:val="0"/>
              <w:spacing w:line="240" w:lineRule="exact"/>
              <w:ind w:left="-105" w:leftChars="-50" w:right="-105" w:rightChars="-5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2020年</w:t>
            </w:r>
          </w:p>
          <w:p>
            <w:pPr>
              <w:adjustRightInd w:val="0"/>
              <w:snapToGrid w:val="0"/>
              <w:spacing w:line="240" w:lineRule="exact"/>
              <w:ind w:left="-105" w:leftChars="-50" w:right="-105" w:rightChars="-5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实际值</w:t>
            </w:r>
          </w:p>
        </w:tc>
        <w:tc>
          <w:tcPr>
            <w:tcW w:w="513" w:type="pct"/>
            <w:shd w:val="clear" w:color="auto" w:fill="auto"/>
            <w:noWrap/>
            <w:vAlign w:val="center"/>
          </w:tcPr>
          <w:p>
            <w:pPr>
              <w:adjustRightInd w:val="0"/>
              <w:snapToGrid w:val="0"/>
              <w:spacing w:line="240" w:lineRule="exact"/>
              <w:ind w:left="-105" w:leftChars="-50" w:right="-105" w:rightChars="-5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2021年</w:t>
            </w:r>
          </w:p>
          <w:p>
            <w:pPr>
              <w:adjustRightInd w:val="0"/>
              <w:snapToGrid w:val="0"/>
              <w:spacing w:line="240" w:lineRule="exact"/>
              <w:ind w:left="-105" w:leftChars="-50" w:right="-105" w:rightChars="-5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完成值</w:t>
            </w:r>
          </w:p>
        </w:tc>
        <w:tc>
          <w:tcPr>
            <w:tcW w:w="482" w:type="pct"/>
            <w:shd w:val="clear" w:color="auto" w:fill="auto"/>
            <w:noWrap/>
            <w:vAlign w:val="center"/>
          </w:tcPr>
          <w:p>
            <w:pPr>
              <w:adjustRightInd w:val="0"/>
              <w:snapToGrid w:val="0"/>
              <w:spacing w:line="240" w:lineRule="exact"/>
              <w:ind w:left="-105" w:leftChars="-50" w:right="-105" w:rightChars="-5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2022年</w:t>
            </w:r>
          </w:p>
          <w:p>
            <w:pPr>
              <w:adjustRightInd w:val="0"/>
              <w:snapToGrid w:val="0"/>
              <w:spacing w:line="240" w:lineRule="exact"/>
              <w:ind w:left="-105" w:leftChars="-50" w:right="-105" w:rightChars="-5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完成值</w:t>
            </w:r>
          </w:p>
        </w:tc>
        <w:tc>
          <w:tcPr>
            <w:tcW w:w="514" w:type="pct"/>
            <w:shd w:val="clear" w:color="auto" w:fill="auto"/>
            <w:noWrap/>
            <w:vAlign w:val="center"/>
          </w:tcPr>
          <w:p>
            <w:pPr>
              <w:adjustRightInd w:val="0"/>
              <w:snapToGrid w:val="0"/>
              <w:spacing w:line="240" w:lineRule="exact"/>
              <w:ind w:left="-105" w:leftChars="-50" w:right="-105" w:rightChars="-50"/>
              <w:jc w:val="center"/>
              <w:rPr>
                <w:rFonts w:hint="eastAsia" w:ascii="仿宋_GB2312" w:hAnsi="仿宋_GB2312" w:eastAsia="仿宋_GB2312" w:cs="仿宋_GB2312"/>
                <w:b/>
                <w:color w:val="auto"/>
                <w:sz w:val="21"/>
                <w:szCs w:val="21"/>
                <w:lang w:bidi="ar"/>
              </w:rPr>
            </w:pPr>
            <w:r>
              <w:rPr>
                <w:rFonts w:hint="eastAsia" w:ascii="仿宋_GB2312" w:hAnsi="仿宋_GB2312" w:eastAsia="仿宋_GB2312" w:cs="仿宋_GB2312"/>
                <w:b/>
                <w:color w:val="auto"/>
                <w:sz w:val="21"/>
                <w:szCs w:val="21"/>
                <w:lang w:bidi="ar"/>
              </w:rPr>
              <w:t>中期完成值</w:t>
            </w:r>
          </w:p>
          <w:p>
            <w:pPr>
              <w:adjustRightInd w:val="0"/>
              <w:snapToGrid w:val="0"/>
              <w:spacing w:line="240" w:lineRule="exact"/>
              <w:ind w:left="-105" w:leftChars="-50" w:right="-105" w:rightChars="-50"/>
              <w:jc w:val="center"/>
              <w:rPr>
                <w:rFonts w:hint="eastAsia" w:ascii="仿宋_GB2312" w:hAnsi="仿宋_GB2312" w:eastAsia="仿宋_GB2312" w:cs="仿宋_GB2312"/>
                <w:b/>
                <w:color w:val="auto"/>
                <w:sz w:val="21"/>
                <w:szCs w:val="21"/>
                <w:lang w:bidi="ar"/>
              </w:rPr>
            </w:pPr>
            <w:r>
              <w:rPr>
                <w:rFonts w:hint="eastAsia" w:ascii="仿宋_GB2312" w:hAnsi="仿宋_GB2312" w:eastAsia="仿宋_GB2312" w:cs="仿宋_GB2312"/>
                <w:b/>
                <w:color w:val="auto"/>
                <w:sz w:val="21"/>
                <w:szCs w:val="21"/>
                <w:lang w:bidi="ar"/>
              </w:rPr>
              <w:t>（截至2023年</w:t>
            </w:r>
          </w:p>
          <w:p>
            <w:pPr>
              <w:adjustRightInd w:val="0"/>
              <w:snapToGrid w:val="0"/>
              <w:spacing w:line="240" w:lineRule="exact"/>
              <w:ind w:left="-105" w:leftChars="-50" w:right="-105" w:rightChars="-5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lang w:bidi="ar"/>
              </w:rPr>
              <w:t>6月30日）</w:t>
            </w:r>
          </w:p>
        </w:tc>
        <w:tc>
          <w:tcPr>
            <w:tcW w:w="415" w:type="pct"/>
            <w:shd w:val="clear" w:color="auto" w:fill="auto"/>
            <w:noWrap/>
            <w:vAlign w:val="center"/>
          </w:tcPr>
          <w:p>
            <w:pPr>
              <w:adjustRightInd w:val="0"/>
              <w:snapToGrid w:val="0"/>
              <w:spacing w:line="240" w:lineRule="exact"/>
              <w:ind w:left="-105" w:leftChars="-50" w:right="-105" w:rightChars="-5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2025年</w:t>
            </w:r>
          </w:p>
          <w:p>
            <w:pPr>
              <w:adjustRightInd w:val="0"/>
              <w:snapToGrid w:val="0"/>
              <w:spacing w:line="240" w:lineRule="exact"/>
              <w:ind w:left="-105" w:leftChars="-50" w:right="-105" w:rightChars="-50"/>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目标值</w:t>
            </w:r>
          </w:p>
        </w:tc>
        <w:tc>
          <w:tcPr>
            <w:tcW w:w="367" w:type="pct"/>
            <w:shd w:val="clear" w:color="auto" w:fill="auto"/>
            <w:vAlign w:val="center"/>
          </w:tcPr>
          <w:p>
            <w:pPr>
              <w:widowControl w:val="0"/>
              <w:adjustRightInd w:val="0"/>
              <w:snapToGrid w:val="0"/>
              <w:spacing w:line="240" w:lineRule="exact"/>
              <w:ind w:left="-105" w:leftChars="-50" w:right="-105" w:rightChars="-50"/>
              <w:jc w:val="center"/>
              <w:textAlignment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中期进度</w:t>
            </w:r>
          </w:p>
        </w:tc>
        <w:tc>
          <w:tcPr>
            <w:tcW w:w="850" w:type="pct"/>
            <w:shd w:val="clear" w:color="auto" w:fill="auto"/>
            <w:vAlign w:val="center"/>
          </w:tcPr>
          <w:p>
            <w:pPr>
              <w:widowControl w:val="0"/>
              <w:adjustRightInd w:val="0"/>
              <w:snapToGrid w:val="0"/>
              <w:spacing w:line="240" w:lineRule="exact"/>
              <w:ind w:left="-105" w:leftChars="-50" w:right="-105" w:rightChars="-50"/>
              <w:jc w:val="center"/>
              <w:textAlignment w:val="center"/>
              <w:rPr>
                <w:rFonts w:hint="default" w:ascii="仿宋_GB2312" w:hAnsi="仿宋_GB2312" w:eastAsia="仿宋_GB2312" w:cs="仿宋_GB2312"/>
                <w:b/>
                <w:color w:val="auto"/>
                <w:sz w:val="21"/>
                <w:szCs w:val="21"/>
              </w:rPr>
            </w:pPr>
            <w:r>
              <w:rPr>
                <w:rFonts w:hint="default" w:ascii="仿宋_GB2312" w:hAnsi="仿宋_GB2312" w:eastAsia="仿宋_GB2312" w:cs="仿宋_GB2312"/>
                <w:b/>
                <w:color w:val="auto"/>
                <w:sz w:val="21"/>
                <w:szCs w:val="21"/>
              </w:rPr>
              <w:t>完成进度评价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restar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社会救助</w:t>
            </w: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最低生活保障标准平均年度增速占上年度居民人均消费支出平均增速比例</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sz w:val="21"/>
                <w:szCs w:val="21"/>
              </w:rPr>
              <w:t>≥100</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125</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125</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129</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bidi="ar"/>
              </w:rPr>
              <w:t>&gt;</w:t>
            </w:r>
            <w:r>
              <w:rPr>
                <w:rFonts w:hint="eastAsia" w:ascii="仿宋_GB2312" w:hAnsi="仿宋_GB2312" w:eastAsia="仿宋_GB2312" w:cs="仿宋_GB2312"/>
                <w:color w:val="000000"/>
                <w:sz w:val="21"/>
                <w:szCs w:val="21"/>
                <w:lang w:val="en-US" w:eastAsia="zh-CN" w:bidi="ar"/>
              </w:rPr>
              <w:t>100%</w:t>
            </w:r>
          </w:p>
        </w:tc>
        <w:tc>
          <w:tcPr>
            <w:tcW w:w="850"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lang w:bidi="ar"/>
              </w:rPr>
            </w:pPr>
            <w:r>
              <w:rPr>
                <w:rFonts w:hint="eastAsia" w:ascii="仿宋_GB2312" w:hAnsi="仿宋_GB2312" w:eastAsia="仿宋_GB2312" w:cs="仿宋_GB2312"/>
                <w:color w:val="000000"/>
                <w:sz w:val="21"/>
                <w:szCs w:val="21"/>
                <w:lang w:bidi="ar"/>
              </w:rPr>
              <w:t>提前完成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特困人员基本生活供养标准占最低生活保障标准比例</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160</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160</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160</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160</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≥160</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r>
              <w:rPr>
                <w:rFonts w:hint="eastAsia" w:ascii="仿宋_GB2312" w:hAnsi="仿宋_GB2312" w:eastAsia="仿宋_GB2312" w:cs="仿宋_GB2312"/>
                <w:color w:val="000000"/>
                <w:sz w:val="21"/>
                <w:szCs w:val="21"/>
                <w:lang w:val="en-US" w:eastAsia="zh-CN"/>
              </w:rPr>
              <w:t>0</w:t>
            </w:r>
            <w:r>
              <w:rPr>
                <w:rFonts w:hint="eastAsia" w:ascii="仿宋_GB2312" w:hAnsi="仿宋_GB2312" w:eastAsia="仿宋_GB2312" w:cs="仿宋_GB2312"/>
                <w:color w:val="000000"/>
                <w:sz w:val="21"/>
                <w:szCs w:val="21"/>
              </w:rPr>
              <w:t>0</w:t>
            </w:r>
            <w:r>
              <w:rPr>
                <w:rFonts w:hint="eastAsia" w:ascii="仿宋_GB2312" w:hAnsi="仿宋_GB2312" w:eastAsia="仿宋_GB2312" w:cs="仿宋_GB2312"/>
                <w:color w:val="000000"/>
                <w:sz w:val="21"/>
                <w:szCs w:val="21"/>
                <w:lang w:bidi="ar"/>
              </w:rPr>
              <w:t>%</w:t>
            </w:r>
          </w:p>
        </w:tc>
        <w:tc>
          <w:tcPr>
            <w:tcW w:w="850"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lang w:bidi="ar"/>
              </w:rPr>
            </w:pPr>
            <w:r>
              <w:rPr>
                <w:rFonts w:hint="eastAsia" w:ascii="仿宋_GB2312" w:hAnsi="仿宋_GB2312" w:eastAsia="仿宋_GB2312" w:cs="仿宋_GB2312"/>
                <w:color w:val="000000"/>
                <w:sz w:val="21"/>
                <w:szCs w:val="21"/>
                <w:lang w:bidi="ar"/>
              </w:rPr>
              <w:t>提前完成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198" w:type="pct"/>
            <w:vMerge w:val="restar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471" w:type="pct"/>
            <w:vMerge w:val="restar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特困人员照料护理标准占最低工资标准比例</w:t>
            </w:r>
          </w:p>
        </w:tc>
        <w:tc>
          <w:tcPr>
            <w:tcW w:w="4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全自理</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sz w:val="21"/>
                <w:szCs w:val="21"/>
              </w:rPr>
              <w:t>≥2</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28.18</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26.27</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26.27</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&gt;</w:t>
            </w:r>
            <w:r>
              <w:rPr>
                <w:rFonts w:hint="eastAsia" w:ascii="仿宋_GB2312" w:hAnsi="仿宋_GB2312" w:eastAsia="仿宋_GB2312" w:cs="仿宋_GB2312"/>
                <w:color w:val="000000"/>
                <w:sz w:val="21"/>
                <w:szCs w:val="21"/>
                <w:lang w:val="en-US" w:eastAsia="zh-CN" w:bidi="ar"/>
              </w:rPr>
              <w:t>100</w:t>
            </w:r>
          </w:p>
        </w:tc>
        <w:tc>
          <w:tcPr>
            <w:tcW w:w="850"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lang w:bidi="ar"/>
              </w:rPr>
            </w:pPr>
            <w:r>
              <w:rPr>
                <w:rFonts w:hint="eastAsia" w:ascii="仿宋_GB2312" w:hAnsi="仿宋_GB2312" w:eastAsia="仿宋_GB2312" w:cs="仿宋_GB2312"/>
                <w:color w:val="000000"/>
                <w:sz w:val="21"/>
                <w:szCs w:val="21"/>
                <w:lang w:bidi="ar"/>
              </w:rPr>
              <w:t>提前完成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198"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471" w:type="pct"/>
            <w:vMerge w:val="continue"/>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4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半自理</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sz w:val="21"/>
                <w:szCs w:val="21"/>
              </w:rPr>
              <w:t>≥30</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50</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46.61</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46.61</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≥30</w:t>
            </w:r>
          </w:p>
        </w:tc>
        <w:tc>
          <w:tcPr>
            <w:tcW w:w="367"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&gt;</w:t>
            </w:r>
            <w:r>
              <w:rPr>
                <w:rFonts w:hint="eastAsia" w:ascii="仿宋_GB2312" w:hAnsi="仿宋_GB2312" w:eastAsia="仿宋_GB2312" w:cs="仿宋_GB2312"/>
                <w:color w:val="000000"/>
                <w:sz w:val="21"/>
                <w:szCs w:val="21"/>
                <w:lang w:val="en-US" w:eastAsia="zh-CN" w:bidi="ar"/>
              </w:rPr>
              <w:t>100</w:t>
            </w:r>
          </w:p>
        </w:tc>
        <w:tc>
          <w:tcPr>
            <w:tcW w:w="850"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提前完成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198"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471" w:type="pct"/>
            <w:vMerge w:val="continue"/>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4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全护理</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sz w:val="21"/>
                <w:szCs w:val="21"/>
              </w:rPr>
              <w:t>≥60</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75</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69.92</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69.92</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≥60</w:t>
            </w:r>
          </w:p>
        </w:tc>
        <w:tc>
          <w:tcPr>
            <w:tcW w:w="367"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&gt;</w:t>
            </w:r>
            <w:r>
              <w:rPr>
                <w:rFonts w:hint="eastAsia" w:ascii="仿宋_GB2312" w:hAnsi="仿宋_GB2312" w:eastAsia="仿宋_GB2312" w:cs="仿宋_GB2312"/>
                <w:color w:val="000000"/>
                <w:sz w:val="21"/>
                <w:szCs w:val="21"/>
                <w:lang w:val="en-US" w:eastAsia="zh-CN" w:bidi="ar"/>
              </w:rPr>
              <w:t>100</w:t>
            </w:r>
          </w:p>
        </w:tc>
        <w:tc>
          <w:tcPr>
            <w:tcW w:w="850"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提前完成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民政精神福利机构床位数</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床</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0</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0</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0</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0</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800</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0%</w:t>
            </w:r>
          </w:p>
        </w:tc>
        <w:tc>
          <w:tcPr>
            <w:tcW w:w="850"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lang w:bidi="ar"/>
              </w:rPr>
            </w:pPr>
            <w:r>
              <w:rPr>
                <w:rFonts w:hint="default" w:ascii="仿宋_GB2312" w:hAnsi="仿宋_GB2312" w:eastAsia="仿宋_GB2312" w:cs="仿宋_GB2312"/>
                <w:color w:val="000000"/>
                <w:sz w:val="21"/>
                <w:szCs w:val="21"/>
                <w:lang w:bidi="ar"/>
              </w:rPr>
              <w:t>进展不理想（注：</w:t>
            </w:r>
            <w:r>
              <w:rPr>
                <w:rFonts w:hint="eastAsia" w:ascii="仿宋_GB2312" w:hAnsi="仿宋_GB2312" w:eastAsia="仿宋_GB2312" w:cs="仿宋_GB2312"/>
                <w:color w:val="000000"/>
                <w:sz w:val="21"/>
                <w:szCs w:val="21"/>
                <w:lang w:bidi="ar"/>
              </w:rPr>
              <w:t>社会福利救助综合服务中心内置救助安置院，加挂精神福利机构牌子，内设800张床位，预计2025年4月竣工</w:t>
            </w:r>
            <w:r>
              <w:rPr>
                <w:rFonts w:hint="default" w:ascii="仿宋_GB2312" w:hAnsi="仿宋_GB2312" w:eastAsia="仿宋_GB2312" w:cs="仿宋_GB2312"/>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w:t>
            </w:r>
          </w:p>
        </w:tc>
        <w:tc>
          <w:tcPr>
            <w:tcW w:w="969" w:type="pct"/>
            <w:gridSpan w:val="2"/>
            <w:noWrap/>
            <w:vAlign w:val="center"/>
          </w:tcPr>
          <w:p>
            <w:pPr>
              <w:adjustRightInd w:val="0"/>
              <w:snapToGrid w:val="0"/>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查明身份信息流浪乞讨受助人员接送返回率</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100</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100</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100</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100%</w:t>
            </w:r>
          </w:p>
        </w:tc>
        <w:tc>
          <w:tcPr>
            <w:tcW w:w="850"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lang w:bidi="ar"/>
              </w:rPr>
            </w:pPr>
            <w:r>
              <w:rPr>
                <w:rFonts w:hint="eastAsia" w:ascii="仿宋_GB2312" w:hAnsi="仿宋_GB2312" w:eastAsia="仿宋_GB2312" w:cs="仿宋_GB2312"/>
                <w:color w:val="000000"/>
                <w:sz w:val="21"/>
                <w:szCs w:val="21"/>
                <w:lang w:val="en-US" w:eastAsia="zh-CN" w:bidi="ar"/>
              </w:rPr>
              <w:t>提前</w:t>
            </w:r>
            <w:r>
              <w:rPr>
                <w:rFonts w:hint="eastAsia" w:ascii="仿宋_GB2312" w:hAnsi="仿宋_GB2312" w:eastAsia="仿宋_GB2312" w:cs="仿宋_GB2312"/>
                <w:color w:val="000000"/>
                <w:sz w:val="21"/>
                <w:szCs w:val="21"/>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restar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养老服务</w:t>
            </w: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养老机构中护理型床位占比</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bidi="ar"/>
              </w:rPr>
              <w:t>6</w:t>
            </w:r>
            <w:r>
              <w:rPr>
                <w:rFonts w:hint="eastAsia" w:ascii="仿宋_GB2312" w:hAnsi="仿宋_GB2312" w:eastAsia="仿宋_GB2312" w:cs="仿宋_GB2312"/>
                <w:color w:val="000000"/>
                <w:kern w:val="0"/>
                <w:sz w:val="21"/>
                <w:szCs w:val="21"/>
                <w:lang w:val="en-US" w:eastAsia="zh-CN" w:bidi="ar"/>
              </w:rPr>
              <w:t>0</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71.7</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74.</w:t>
            </w:r>
            <w:r>
              <w:rPr>
                <w:rFonts w:hint="eastAsia" w:ascii="仿宋_GB2312" w:hAnsi="仿宋_GB2312" w:eastAsia="仿宋_GB2312" w:cs="仿宋_GB2312"/>
                <w:color w:val="000000"/>
                <w:sz w:val="21"/>
                <w:szCs w:val="21"/>
                <w:lang w:val="en-US" w:eastAsia="zh-CN" w:bidi="ar"/>
              </w:rPr>
              <w:t>8</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74.8</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65</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296</w:t>
            </w:r>
            <w:r>
              <w:rPr>
                <w:rFonts w:hint="eastAsia" w:ascii="仿宋_GB2312" w:hAnsi="仿宋_GB2312" w:eastAsia="仿宋_GB2312" w:cs="仿宋_GB2312"/>
                <w:color w:val="000000"/>
                <w:sz w:val="21"/>
                <w:szCs w:val="21"/>
                <w:lang w:bidi="ar"/>
              </w:rPr>
              <w:t>%</w:t>
            </w:r>
          </w:p>
        </w:tc>
        <w:tc>
          <w:tcPr>
            <w:tcW w:w="850"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lang w:bidi="ar"/>
              </w:rPr>
            </w:pPr>
            <w:r>
              <w:rPr>
                <w:rFonts w:hint="eastAsia" w:ascii="仿宋_GB2312" w:hAnsi="仿宋_GB2312" w:eastAsia="仿宋_GB2312" w:cs="仿宋_GB2312"/>
                <w:color w:val="000000"/>
                <w:sz w:val="21"/>
                <w:szCs w:val="21"/>
                <w:lang w:bidi="ar"/>
              </w:rPr>
              <w:t>提前完成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街道长者服务中心覆盖率</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14</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35</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65</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68</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63</w:t>
            </w:r>
            <w:r>
              <w:rPr>
                <w:rFonts w:hint="eastAsia" w:ascii="仿宋_GB2312" w:hAnsi="仿宋_GB2312" w:eastAsia="仿宋_GB2312" w:cs="仿宋_GB2312"/>
                <w:color w:val="000000"/>
                <w:sz w:val="21"/>
                <w:szCs w:val="21"/>
                <w:lang w:bidi="ar"/>
              </w:rPr>
              <w:t>%</w:t>
            </w:r>
          </w:p>
        </w:tc>
        <w:tc>
          <w:tcPr>
            <w:tcW w:w="850" w:type="pct"/>
            <w:vAlign w:val="center"/>
          </w:tcPr>
          <w:p>
            <w:pPr>
              <w:widowControl w:val="0"/>
              <w:adjustRightInd w:val="0"/>
              <w:snapToGrid w:val="0"/>
              <w:spacing w:line="240" w:lineRule="exact"/>
              <w:jc w:val="center"/>
              <w:rPr>
                <w:rFonts w:hint="default" w:ascii="仿宋_GB2312" w:hAnsi="仿宋_GB2312" w:eastAsia="仿宋_GB2312" w:cs="仿宋_GB2312"/>
                <w:color w:val="000000"/>
                <w:sz w:val="21"/>
                <w:szCs w:val="21"/>
                <w:lang w:bidi="ar"/>
              </w:rPr>
            </w:pPr>
            <w:r>
              <w:rPr>
                <w:rFonts w:hint="default" w:ascii="仿宋_GB2312" w:hAnsi="仿宋_GB2312" w:eastAsia="仿宋_GB2312" w:cs="仿宋_GB2312"/>
                <w:color w:val="000000"/>
                <w:sz w:val="21"/>
                <w:szCs w:val="21"/>
                <w:lang w:bidi="ar"/>
              </w:rPr>
              <w:t>进展顺利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养老服务人员培训数量</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万人次</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0.5</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1.5</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bidi="ar"/>
              </w:rPr>
              <w:t>2.5</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2.5</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1</w:t>
            </w:r>
            <w:r>
              <w:rPr>
                <w:rFonts w:hint="eastAsia" w:ascii="仿宋_GB2312" w:hAnsi="仿宋_GB2312" w:eastAsia="仿宋_GB2312" w:cs="仿宋_GB2312"/>
                <w:color w:val="000000"/>
                <w:sz w:val="21"/>
                <w:szCs w:val="21"/>
                <w:lang w:val="en-US" w:eastAsia="zh-CN" w:bidi="ar"/>
              </w:rPr>
              <w:t>33</w:t>
            </w:r>
            <w:r>
              <w:rPr>
                <w:rFonts w:hint="eastAsia" w:ascii="仿宋_GB2312" w:hAnsi="仿宋_GB2312" w:eastAsia="仿宋_GB2312" w:cs="仿宋_GB2312"/>
                <w:color w:val="000000"/>
                <w:sz w:val="21"/>
                <w:szCs w:val="21"/>
                <w:lang w:bidi="ar"/>
              </w:rPr>
              <w:t>%</w:t>
            </w:r>
          </w:p>
        </w:tc>
        <w:tc>
          <w:tcPr>
            <w:tcW w:w="850"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lang w:bidi="ar"/>
              </w:rPr>
            </w:pPr>
            <w:r>
              <w:rPr>
                <w:rFonts w:hint="eastAsia" w:ascii="仿宋_GB2312" w:hAnsi="仿宋_GB2312" w:eastAsia="仿宋_GB2312" w:cs="仿宋_GB2312"/>
                <w:color w:val="000000"/>
                <w:sz w:val="21"/>
                <w:szCs w:val="21"/>
                <w:lang w:bidi="ar"/>
              </w:rPr>
              <w:t>提前完成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restar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儿童福利</w:t>
            </w: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9</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孤儿（含集中养育和分散供养）基本生活最低养育标准增幅占上年度居民人均消费性支出增幅比例</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sz w:val="21"/>
                <w:szCs w:val="21"/>
              </w:rPr>
              <w:t>≥100</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172.4</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6.9</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165</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367" w:type="pct"/>
            <w:vAlign w:val="center"/>
          </w:tcPr>
          <w:p>
            <w:pPr>
              <w:widowControl/>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165</w:t>
            </w:r>
            <w:r>
              <w:rPr>
                <w:rFonts w:hint="eastAsia" w:ascii="仿宋_GB2312" w:hAnsi="仿宋_GB2312" w:eastAsia="仿宋_GB2312" w:cs="仿宋_GB2312"/>
                <w:color w:val="000000"/>
                <w:sz w:val="21"/>
                <w:szCs w:val="21"/>
              </w:rPr>
              <w:t>%</w:t>
            </w:r>
          </w:p>
        </w:tc>
        <w:tc>
          <w:tcPr>
            <w:tcW w:w="850" w:type="pct"/>
            <w:vAlign w:val="center"/>
          </w:tcPr>
          <w:p>
            <w:pPr>
              <w:widowControl w:val="0"/>
              <w:adjustRightInd w:val="0"/>
              <w:snapToGrid w:val="0"/>
              <w:spacing w:line="240" w:lineRule="exact"/>
              <w:jc w:val="center"/>
              <w:rPr>
                <w:rFonts w:hint="default" w:ascii="仿宋_GB2312" w:hAnsi="仿宋_GB2312" w:eastAsia="仿宋_GB2312" w:cs="仿宋_GB2312"/>
                <w:color w:val="000000"/>
                <w:sz w:val="21"/>
                <w:szCs w:val="21"/>
                <w:lang w:bidi="ar"/>
              </w:rPr>
            </w:pPr>
            <w:r>
              <w:rPr>
                <w:rFonts w:hint="default" w:ascii="仿宋_GB2312" w:hAnsi="仿宋_GB2312" w:eastAsia="仿宋_GB2312" w:cs="仿宋_GB2312"/>
                <w:color w:val="000000"/>
                <w:sz w:val="21"/>
                <w:szCs w:val="21"/>
                <w:lang w:bidi="ar"/>
              </w:rPr>
              <w:t>进展不理想</w:t>
            </w:r>
            <w:r>
              <w:rPr>
                <w:rFonts w:hint="eastAsia" w:ascii="仿宋_GB2312" w:hAnsi="仿宋_GB2312" w:eastAsia="仿宋_GB2312" w:cs="仿宋_GB2312"/>
                <w:color w:val="000000"/>
                <w:sz w:val="21"/>
                <w:szCs w:val="21"/>
              </w:rPr>
              <w:t>（注：因</w:t>
            </w:r>
            <w:r>
              <w:rPr>
                <w:rFonts w:hint="default" w:ascii="仿宋_GB2312" w:hAnsi="仿宋_GB2312" w:eastAsia="仿宋_GB2312" w:cs="仿宋_GB2312"/>
                <w:color w:val="000000"/>
                <w:sz w:val="21"/>
                <w:szCs w:val="21"/>
              </w:rPr>
              <w:t>受新冠肺炎疫情影响，该项指标中“</w:t>
            </w:r>
            <w:r>
              <w:rPr>
                <w:rFonts w:hint="eastAsia" w:ascii="仿宋_GB2312" w:hAnsi="仿宋_GB2312" w:eastAsia="仿宋_GB2312" w:cs="仿宋_GB2312"/>
                <w:color w:val="000000"/>
                <w:sz w:val="21"/>
                <w:szCs w:val="21"/>
              </w:rPr>
              <w:t>上年度居民人均消费性支出增幅</w:t>
            </w:r>
            <w:r>
              <w:rPr>
                <w:rFonts w:hint="default" w:ascii="仿宋_GB2312" w:hAnsi="仿宋_GB2312" w:eastAsia="仿宋_GB2312" w:cs="仿宋_GB2312"/>
                <w:color w:val="000000"/>
                <w:sz w:val="21"/>
                <w:szCs w:val="21"/>
              </w:rPr>
              <w:t>比例波动较大</w:t>
            </w:r>
            <w:r>
              <w:rPr>
                <w:rFonts w:hint="eastAsia" w:ascii="仿宋_GB2312" w:hAnsi="仿宋_GB2312" w:eastAsia="仿宋_GB2312" w:cs="仿宋_GB2312"/>
                <w:color w:val="000000"/>
                <w:sz w:val="21"/>
                <w:szCs w:val="21"/>
              </w:rPr>
              <w:t>，</w:t>
            </w:r>
            <w:r>
              <w:rPr>
                <w:rFonts w:hint="default" w:ascii="仿宋_GB2312" w:hAnsi="仿宋_GB2312" w:eastAsia="仿宋_GB2312" w:cs="仿宋_GB2312"/>
                <w:color w:val="000000"/>
                <w:sz w:val="21"/>
                <w:szCs w:val="21"/>
              </w:rPr>
              <w:t>因此该项指标值不稳定，预计2025年末能够实现目标值</w:t>
            </w:r>
            <w:r>
              <w:rPr>
                <w:rFonts w:hint="eastAsia" w:ascii="仿宋_GB2312" w:hAnsi="仿宋_GB2312" w:eastAsia="仿宋_GB2312" w:cs="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街道未成年人保护站覆盖率</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16</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100</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100</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100%</w:t>
            </w:r>
          </w:p>
        </w:tc>
        <w:tc>
          <w:tcPr>
            <w:tcW w:w="850"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lang w:bidi="ar"/>
              </w:rPr>
            </w:pPr>
            <w:r>
              <w:rPr>
                <w:rFonts w:hint="eastAsia" w:ascii="仿宋_GB2312" w:hAnsi="仿宋_GB2312" w:eastAsia="仿宋_GB2312" w:cs="仿宋_GB2312"/>
                <w:color w:val="000000"/>
                <w:sz w:val="21"/>
                <w:szCs w:val="21"/>
                <w:lang w:bidi="ar"/>
              </w:rPr>
              <w:t>提前完成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11</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社区儿童主任专（兼）职率</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100</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100</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100</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100%</w:t>
            </w:r>
          </w:p>
        </w:tc>
        <w:tc>
          <w:tcPr>
            <w:tcW w:w="850"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lang w:bidi="ar"/>
              </w:rPr>
            </w:pPr>
            <w:r>
              <w:rPr>
                <w:rFonts w:hint="eastAsia" w:ascii="仿宋_GB2312" w:hAnsi="仿宋_GB2312" w:eastAsia="仿宋_GB2312" w:cs="仿宋_GB2312"/>
                <w:color w:val="000000"/>
                <w:sz w:val="21"/>
                <w:szCs w:val="21"/>
                <w:lang w:bidi="ar"/>
              </w:rPr>
              <w:t>提前完成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restar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基层治理</w:t>
            </w: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12</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城市社区综合服务设施覆盖率</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100</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100</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100</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100%</w:t>
            </w:r>
          </w:p>
        </w:tc>
        <w:tc>
          <w:tcPr>
            <w:tcW w:w="850"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lang w:bidi="ar"/>
              </w:rPr>
            </w:pPr>
            <w:r>
              <w:rPr>
                <w:rFonts w:hint="eastAsia" w:ascii="仿宋_GB2312" w:hAnsi="仿宋_GB2312" w:eastAsia="仿宋_GB2312" w:cs="仿宋_GB2312"/>
                <w:color w:val="000000"/>
                <w:sz w:val="21"/>
                <w:szCs w:val="21"/>
                <w:lang w:bidi="ar"/>
              </w:rPr>
              <w:t>提前完成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13</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基层民主参选率</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305" w:type="pct"/>
            <w:noWrap/>
            <w:vAlign w:val="center"/>
          </w:tcPr>
          <w:p>
            <w:pPr>
              <w:widowControl w:val="0"/>
              <w:adjustRightInd w:val="0"/>
              <w:snapToGrid w:val="0"/>
              <w:spacing w:line="240" w:lineRule="exact"/>
              <w:jc w:val="center"/>
              <w:textAlignment w:val="center"/>
              <w:rPr>
                <w:rFonts w:hint="default" w:ascii="仿宋_GB2312" w:hAnsi="仿宋_GB2312" w:eastAsia="仿宋_GB2312" w:cs="仿宋_GB2312"/>
                <w:color w:val="000000"/>
                <w:kern w:val="0"/>
                <w:sz w:val="21"/>
                <w:szCs w:val="21"/>
                <w:lang w:bidi="ar"/>
              </w:rPr>
            </w:pPr>
            <w:r>
              <w:rPr>
                <w:rFonts w:hint="default" w:ascii="仿宋_GB2312" w:hAnsi="仿宋_GB2312" w:eastAsia="仿宋_GB2312" w:cs="仿宋_GB2312"/>
                <w:color w:val="000000"/>
                <w:sz w:val="21"/>
                <w:szCs w:val="21"/>
              </w:rPr>
              <w:t>98.1</w:t>
            </w:r>
          </w:p>
        </w:tc>
        <w:tc>
          <w:tcPr>
            <w:tcW w:w="513" w:type="pct"/>
            <w:noWrap/>
            <w:vAlign w:val="center"/>
          </w:tcPr>
          <w:p>
            <w:pPr>
              <w:widowControl w:val="0"/>
              <w:adjustRightInd w:val="0"/>
              <w:snapToGrid w:val="0"/>
              <w:spacing w:line="240" w:lineRule="exact"/>
              <w:jc w:val="center"/>
              <w:textAlignment w:val="center"/>
              <w:rPr>
                <w:rFonts w:hint="default" w:ascii="仿宋_GB2312" w:hAnsi="仿宋_GB2312" w:eastAsia="仿宋_GB2312" w:cs="仿宋_GB2312"/>
                <w:color w:val="000000"/>
                <w:sz w:val="21"/>
                <w:szCs w:val="21"/>
              </w:rPr>
            </w:pPr>
            <w:r>
              <w:rPr>
                <w:rFonts w:hint="default" w:ascii="仿宋_GB2312" w:hAnsi="仿宋_GB2312" w:eastAsia="仿宋_GB2312" w:cs="仿宋_GB2312"/>
                <w:color w:val="000000"/>
                <w:kern w:val="0"/>
                <w:sz w:val="21"/>
                <w:szCs w:val="21"/>
                <w:lang w:bidi="ar"/>
              </w:rPr>
              <w:t>98.1</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default" w:ascii="仿宋_GB2312" w:hAnsi="仿宋_GB2312" w:eastAsia="仿宋_GB2312" w:cs="仿宋_GB2312"/>
                <w:color w:val="000000"/>
                <w:sz w:val="21"/>
                <w:szCs w:val="21"/>
                <w:lang w:bidi="ar"/>
              </w:rPr>
              <w:t>98.1</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98.1</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≥95</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default" w:ascii="仿宋_GB2312" w:hAnsi="仿宋_GB2312" w:eastAsia="仿宋_GB2312" w:cs="仿宋_GB2312"/>
                <w:color w:val="000000"/>
                <w:sz w:val="21"/>
                <w:szCs w:val="21"/>
                <w:lang w:eastAsia="zh-CN" w:bidi="ar"/>
              </w:rPr>
              <w:t>100</w:t>
            </w:r>
            <w:r>
              <w:rPr>
                <w:rFonts w:hint="eastAsia" w:ascii="仿宋_GB2312" w:hAnsi="仿宋_GB2312" w:eastAsia="仿宋_GB2312" w:cs="仿宋_GB2312"/>
                <w:color w:val="000000"/>
                <w:sz w:val="21"/>
                <w:szCs w:val="21"/>
                <w:lang w:bidi="ar"/>
              </w:rPr>
              <w:t>%</w:t>
            </w:r>
          </w:p>
        </w:tc>
        <w:tc>
          <w:tcPr>
            <w:tcW w:w="850" w:type="pct"/>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lang w:bidi="ar"/>
              </w:rPr>
            </w:pPr>
            <w:r>
              <w:rPr>
                <w:rFonts w:hint="eastAsia" w:ascii="仿宋_GB2312" w:hAnsi="仿宋_GB2312" w:eastAsia="仿宋_GB2312" w:cs="仿宋_GB2312"/>
                <w:color w:val="000000"/>
                <w:sz w:val="21"/>
                <w:szCs w:val="21"/>
                <w:lang w:bidi="ar"/>
              </w:rPr>
              <w:t>提前完成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社会组织</w:t>
            </w: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14</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3A级以上市级社会组织数量</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家</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164</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lang w:val="en-US" w:eastAsia="zh-CN" w:bidi="ar"/>
              </w:rPr>
              <w:t>241</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bidi="ar"/>
              </w:rPr>
              <w:t>362</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458</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520</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bidi="ar"/>
              </w:rPr>
              <w:t>83</w:t>
            </w:r>
            <w:r>
              <w:rPr>
                <w:rFonts w:hint="eastAsia" w:ascii="仿宋_GB2312" w:hAnsi="仿宋_GB2312" w:eastAsia="仿宋_GB2312" w:cs="仿宋_GB2312"/>
                <w:color w:val="auto"/>
                <w:sz w:val="21"/>
                <w:szCs w:val="21"/>
                <w:lang w:bidi="ar"/>
              </w:rPr>
              <w:t>%</w:t>
            </w:r>
          </w:p>
        </w:tc>
        <w:tc>
          <w:tcPr>
            <w:tcW w:w="850" w:type="pct"/>
            <w:vAlign w:val="center"/>
          </w:tcPr>
          <w:p>
            <w:pPr>
              <w:widowControl w:val="0"/>
              <w:adjustRightInd w:val="0"/>
              <w:snapToGrid w:val="0"/>
              <w:spacing w:line="240" w:lineRule="exact"/>
              <w:jc w:val="center"/>
              <w:rPr>
                <w:rFonts w:hint="default" w:ascii="仿宋_GB2312" w:hAnsi="仿宋_GB2312" w:eastAsia="仿宋_GB2312" w:cs="仿宋_GB2312"/>
                <w:color w:val="auto"/>
                <w:sz w:val="21"/>
                <w:szCs w:val="21"/>
                <w:lang w:bidi="ar"/>
              </w:rPr>
            </w:pPr>
            <w:r>
              <w:rPr>
                <w:rFonts w:hint="default" w:ascii="仿宋_GB2312" w:hAnsi="仿宋_GB2312" w:eastAsia="仿宋_GB2312" w:cs="仿宋_GB2312"/>
                <w:color w:val="auto"/>
                <w:sz w:val="21"/>
                <w:szCs w:val="21"/>
                <w:lang w:bidi="ar"/>
              </w:rPr>
              <w:t>进展顺利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restar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慈善事业</w:t>
            </w: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15</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常住人口人均年捐赠额</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元</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170</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227</w:t>
            </w:r>
          </w:p>
        </w:tc>
        <w:tc>
          <w:tcPr>
            <w:tcW w:w="482" w:type="pct"/>
            <w:noWrap/>
            <w:vAlign w:val="center"/>
          </w:tcPr>
          <w:p>
            <w:pPr>
              <w:widowControl w:val="0"/>
              <w:adjustRightInd w:val="0"/>
              <w:snapToGrid w:val="0"/>
              <w:spacing w:line="240" w:lineRule="exact"/>
              <w:jc w:val="center"/>
              <w:rPr>
                <w:rFonts w:hint="default" w:ascii="仿宋_GB2312" w:hAnsi="仿宋_GB2312" w:eastAsia="仿宋_GB2312" w:cs="仿宋_GB2312"/>
                <w:color w:val="000000"/>
                <w:sz w:val="21"/>
                <w:szCs w:val="21"/>
              </w:rPr>
            </w:pPr>
            <w:r>
              <w:rPr>
                <w:rFonts w:hint="default" w:ascii="仿宋_GB2312" w:hAnsi="仿宋_GB2312" w:eastAsia="仿宋_GB2312" w:cs="仿宋_GB2312"/>
                <w:color w:val="000000"/>
                <w:sz w:val="21"/>
                <w:szCs w:val="21"/>
                <w:lang w:bidi="ar"/>
              </w:rPr>
              <w:t>443</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该指标只统计到年度数据，截</w:t>
            </w:r>
            <w:r>
              <w:rPr>
                <w:rFonts w:hint="eastAsia" w:ascii="仿宋_GB2312" w:hAnsi="仿宋_GB2312" w:eastAsia="仿宋_GB2312" w:cs="仿宋_GB2312"/>
                <w:color w:val="000000"/>
                <w:sz w:val="21"/>
                <w:szCs w:val="21"/>
                <w:lang w:eastAsia="zh-CN"/>
              </w:rPr>
              <w:t>至</w:t>
            </w:r>
            <w:r>
              <w:rPr>
                <w:rFonts w:hint="eastAsia" w:ascii="仿宋_GB2312" w:hAnsi="仿宋_GB2312" w:eastAsia="仿宋_GB2312" w:cs="仿宋_GB2312"/>
                <w:color w:val="000000"/>
                <w:sz w:val="21"/>
                <w:szCs w:val="21"/>
                <w:lang w:val="en-US" w:eastAsia="zh-CN"/>
              </w:rPr>
              <w:t>2022年12月31日。</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200</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auto"/>
                <w:sz w:val="21"/>
                <w:szCs w:val="21"/>
              </w:rPr>
            </w:pPr>
            <w:r>
              <w:rPr>
                <w:rFonts w:hint="default" w:ascii="仿宋_GB2312" w:hAnsi="仿宋_GB2312" w:eastAsia="仿宋_GB2312" w:cs="仿宋_GB2312"/>
                <w:color w:val="auto"/>
                <w:sz w:val="21"/>
                <w:szCs w:val="21"/>
                <w:lang w:eastAsia="zh-CN" w:bidi="ar"/>
              </w:rPr>
              <w:t>910</w:t>
            </w:r>
            <w:r>
              <w:rPr>
                <w:rFonts w:hint="eastAsia" w:ascii="仿宋_GB2312" w:hAnsi="仿宋_GB2312" w:eastAsia="仿宋_GB2312" w:cs="仿宋_GB2312"/>
                <w:color w:val="auto"/>
                <w:sz w:val="21"/>
                <w:szCs w:val="21"/>
                <w:lang w:bidi="ar"/>
              </w:rPr>
              <w:t>%</w:t>
            </w:r>
          </w:p>
        </w:tc>
        <w:tc>
          <w:tcPr>
            <w:tcW w:w="850" w:type="pct"/>
            <w:vAlign w:val="center"/>
          </w:tcPr>
          <w:p>
            <w:pPr>
              <w:widowControl w:val="0"/>
              <w:adjustRightInd w:val="0"/>
              <w:snapToGrid w:val="0"/>
              <w:spacing w:line="240" w:lineRule="exact"/>
              <w:jc w:val="center"/>
              <w:rPr>
                <w:rFonts w:hint="default" w:ascii="仿宋_GB2312" w:hAnsi="仿宋_GB2312" w:eastAsia="仿宋_GB2312" w:cs="仿宋_GB2312"/>
                <w:color w:val="auto"/>
                <w:sz w:val="21"/>
                <w:szCs w:val="21"/>
                <w:lang w:bidi="ar"/>
              </w:rPr>
            </w:pPr>
            <w:r>
              <w:rPr>
                <w:rFonts w:hint="default" w:ascii="仿宋_GB2312" w:hAnsi="仿宋_GB2312" w:eastAsia="仿宋_GB2312" w:cs="仿宋_GB2312"/>
                <w:color w:val="auto"/>
                <w:sz w:val="21"/>
                <w:szCs w:val="21"/>
                <w:lang w:bidi="ar"/>
              </w:rPr>
              <w:t>提前完成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16</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慈善组织数量</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家</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325</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450</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480</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485</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500</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bidi="ar"/>
              </w:rPr>
              <w:t>9</w:t>
            </w:r>
            <w:r>
              <w:rPr>
                <w:rFonts w:hint="eastAsia" w:ascii="仿宋_GB2312" w:hAnsi="仿宋_GB2312" w:eastAsia="仿宋_GB2312" w:cs="仿宋_GB2312"/>
                <w:color w:val="auto"/>
                <w:sz w:val="21"/>
                <w:szCs w:val="21"/>
                <w:lang w:val="en-US" w:eastAsia="zh-CN" w:bidi="ar"/>
              </w:rPr>
              <w:t>1</w:t>
            </w:r>
            <w:r>
              <w:rPr>
                <w:rFonts w:hint="eastAsia" w:ascii="仿宋_GB2312" w:hAnsi="仿宋_GB2312" w:eastAsia="仿宋_GB2312" w:cs="仿宋_GB2312"/>
                <w:color w:val="auto"/>
                <w:sz w:val="21"/>
                <w:szCs w:val="21"/>
                <w:lang w:bidi="ar"/>
              </w:rPr>
              <w:t>%</w:t>
            </w:r>
          </w:p>
        </w:tc>
        <w:tc>
          <w:tcPr>
            <w:tcW w:w="850" w:type="pct"/>
            <w:vAlign w:val="center"/>
          </w:tcPr>
          <w:p>
            <w:pPr>
              <w:widowControl w:val="0"/>
              <w:adjustRightInd w:val="0"/>
              <w:snapToGrid w:val="0"/>
              <w:spacing w:line="240" w:lineRule="exact"/>
              <w:jc w:val="center"/>
              <w:rPr>
                <w:rFonts w:hint="default" w:ascii="仿宋_GB2312" w:hAnsi="仿宋_GB2312" w:eastAsia="仿宋_GB2312" w:cs="仿宋_GB2312"/>
                <w:color w:val="auto"/>
                <w:sz w:val="21"/>
                <w:szCs w:val="21"/>
                <w:lang w:bidi="ar"/>
              </w:rPr>
            </w:pPr>
            <w:r>
              <w:rPr>
                <w:rFonts w:hint="default" w:ascii="仿宋_GB2312" w:hAnsi="仿宋_GB2312" w:eastAsia="仿宋_GB2312" w:cs="仿宋_GB2312"/>
                <w:color w:val="auto"/>
                <w:sz w:val="21"/>
                <w:szCs w:val="21"/>
                <w:lang w:bidi="ar"/>
              </w:rPr>
              <w:t>进展顺利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17</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福利彩票销售网点数</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个</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1284</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1262</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18</w:t>
            </w:r>
            <w:r>
              <w:rPr>
                <w:rFonts w:hint="eastAsia" w:ascii="仿宋_GB2312" w:hAnsi="仿宋_GB2312" w:eastAsia="仿宋_GB2312" w:cs="仿宋_GB2312"/>
                <w:color w:val="000000"/>
                <w:sz w:val="21"/>
                <w:szCs w:val="21"/>
                <w:lang w:val="en-US" w:eastAsia="zh-CN" w:bidi="ar"/>
              </w:rPr>
              <w:t>2</w:t>
            </w:r>
            <w:r>
              <w:rPr>
                <w:rFonts w:hint="eastAsia" w:ascii="仿宋_GB2312" w:hAnsi="仿宋_GB2312" w:eastAsia="仿宋_GB2312" w:cs="仿宋_GB2312"/>
                <w:color w:val="000000"/>
                <w:sz w:val="21"/>
                <w:szCs w:val="21"/>
                <w:lang w:bidi="ar"/>
              </w:rPr>
              <w:t>0</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1872</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2000</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82</w:t>
            </w:r>
            <w:r>
              <w:rPr>
                <w:rFonts w:hint="eastAsia" w:ascii="仿宋_GB2312" w:hAnsi="仿宋_GB2312" w:eastAsia="仿宋_GB2312" w:cs="仿宋_GB2312"/>
                <w:color w:val="auto"/>
                <w:sz w:val="21"/>
                <w:szCs w:val="21"/>
                <w:lang w:bidi="ar"/>
              </w:rPr>
              <w:t>%</w:t>
            </w:r>
          </w:p>
        </w:tc>
        <w:tc>
          <w:tcPr>
            <w:tcW w:w="850" w:type="pct"/>
            <w:vAlign w:val="center"/>
          </w:tcPr>
          <w:p>
            <w:pPr>
              <w:widowControl w:val="0"/>
              <w:adjustRightInd w:val="0"/>
              <w:snapToGrid w:val="0"/>
              <w:spacing w:line="240" w:lineRule="exact"/>
              <w:jc w:val="center"/>
              <w:rPr>
                <w:rFonts w:hint="default" w:ascii="仿宋_GB2312" w:hAnsi="仿宋_GB2312" w:eastAsia="仿宋_GB2312" w:cs="仿宋_GB2312"/>
                <w:color w:val="auto"/>
                <w:sz w:val="21"/>
                <w:szCs w:val="21"/>
                <w:lang w:bidi="ar"/>
              </w:rPr>
            </w:pPr>
            <w:r>
              <w:rPr>
                <w:rFonts w:hint="default" w:ascii="仿宋_GB2312" w:hAnsi="仿宋_GB2312" w:eastAsia="仿宋_GB2312" w:cs="仿宋_GB2312"/>
                <w:color w:val="auto"/>
                <w:sz w:val="21"/>
                <w:szCs w:val="21"/>
                <w:lang w:bidi="ar"/>
              </w:rPr>
              <w:t>进展顺利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restar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社会工作</w:t>
            </w: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18</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一线执业社工持证率</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58</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69.94</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76.29</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83.37</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80</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115</w:t>
            </w:r>
            <w:r>
              <w:rPr>
                <w:rFonts w:hint="eastAsia" w:ascii="仿宋_GB2312" w:hAnsi="仿宋_GB2312" w:eastAsia="仿宋_GB2312" w:cs="仿宋_GB2312"/>
                <w:color w:val="auto"/>
                <w:sz w:val="21"/>
                <w:szCs w:val="21"/>
                <w:lang w:bidi="ar"/>
              </w:rPr>
              <w:t>%</w:t>
            </w:r>
          </w:p>
        </w:tc>
        <w:tc>
          <w:tcPr>
            <w:tcW w:w="850" w:type="pct"/>
            <w:vAlign w:val="center"/>
          </w:tcPr>
          <w:p>
            <w:pPr>
              <w:widowControl w:val="0"/>
              <w:adjustRightInd w:val="0"/>
              <w:snapToGrid w:val="0"/>
              <w:spacing w:line="240" w:lineRule="exact"/>
              <w:jc w:val="center"/>
              <w:rPr>
                <w:rFonts w:hint="eastAsia" w:ascii="仿宋_GB2312" w:hAnsi="仿宋_GB2312" w:eastAsia="仿宋_GB2312" w:cs="仿宋_GB2312"/>
                <w:color w:val="auto"/>
                <w:sz w:val="21"/>
                <w:szCs w:val="21"/>
                <w:lang w:bidi="ar"/>
              </w:rPr>
            </w:pPr>
            <w:r>
              <w:rPr>
                <w:rFonts w:hint="eastAsia" w:ascii="仿宋_GB2312" w:hAnsi="仿宋_GB2312" w:eastAsia="仿宋_GB2312" w:cs="仿宋_GB2312"/>
                <w:color w:val="auto"/>
                <w:sz w:val="21"/>
                <w:szCs w:val="21"/>
                <w:lang w:val="en-US" w:eastAsia="zh-CN" w:bidi="ar"/>
              </w:rPr>
              <w:t>提前</w:t>
            </w:r>
            <w:r>
              <w:rPr>
                <w:rFonts w:hint="eastAsia" w:ascii="仿宋_GB2312" w:hAnsi="仿宋_GB2312" w:eastAsia="仿宋_GB2312" w:cs="仿宋_GB2312"/>
                <w:color w:val="auto"/>
                <w:sz w:val="21"/>
                <w:szCs w:val="21"/>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19</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中高级社会工作师数量</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名</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1342</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1664</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2017</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2299</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2000</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145</w:t>
            </w:r>
            <w:r>
              <w:rPr>
                <w:rFonts w:hint="eastAsia" w:ascii="仿宋_GB2312" w:hAnsi="仿宋_GB2312" w:eastAsia="仿宋_GB2312" w:cs="仿宋_GB2312"/>
                <w:color w:val="auto"/>
                <w:sz w:val="21"/>
                <w:szCs w:val="21"/>
                <w:lang w:bidi="ar"/>
              </w:rPr>
              <w:t>%</w:t>
            </w:r>
          </w:p>
        </w:tc>
        <w:tc>
          <w:tcPr>
            <w:tcW w:w="850" w:type="pct"/>
            <w:vAlign w:val="center"/>
          </w:tcPr>
          <w:p>
            <w:pPr>
              <w:widowControl w:val="0"/>
              <w:adjustRightInd w:val="0"/>
              <w:snapToGrid w:val="0"/>
              <w:spacing w:line="240" w:lineRule="exact"/>
              <w:jc w:val="center"/>
              <w:rPr>
                <w:rFonts w:hint="eastAsia" w:ascii="仿宋_GB2312" w:hAnsi="仿宋_GB2312" w:eastAsia="仿宋_GB2312" w:cs="仿宋_GB2312"/>
                <w:color w:val="auto"/>
                <w:sz w:val="21"/>
                <w:szCs w:val="21"/>
                <w:lang w:bidi="ar"/>
              </w:rPr>
            </w:pPr>
            <w:r>
              <w:rPr>
                <w:rFonts w:hint="eastAsia" w:ascii="仿宋_GB2312" w:hAnsi="仿宋_GB2312" w:eastAsia="仿宋_GB2312" w:cs="仿宋_GB2312"/>
                <w:color w:val="auto"/>
                <w:sz w:val="21"/>
                <w:szCs w:val="21"/>
                <w:lang w:val="en-US" w:eastAsia="zh-CN" w:bidi="ar"/>
              </w:rPr>
              <w:t>提前</w:t>
            </w:r>
            <w:r>
              <w:rPr>
                <w:rFonts w:hint="eastAsia" w:ascii="仿宋_GB2312" w:hAnsi="仿宋_GB2312" w:eastAsia="仿宋_GB2312" w:cs="仿宋_GB2312"/>
                <w:color w:val="auto"/>
                <w:sz w:val="21"/>
                <w:szCs w:val="21"/>
                <w:lang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常住人口注册志愿者比例</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13</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14.70</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19.85</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21.52</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14</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852</w:t>
            </w:r>
            <w:r>
              <w:rPr>
                <w:rFonts w:hint="eastAsia" w:ascii="仿宋_GB2312" w:hAnsi="仿宋_GB2312" w:eastAsia="仿宋_GB2312" w:cs="仿宋_GB2312"/>
                <w:color w:val="auto"/>
                <w:sz w:val="21"/>
                <w:szCs w:val="21"/>
                <w:lang w:bidi="ar"/>
              </w:rPr>
              <w:t>%</w:t>
            </w:r>
          </w:p>
        </w:tc>
        <w:tc>
          <w:tcPr>
            <w:tcW w:w="850" w:type="pct"/>
            <w:vAlign w:val="center"/>
          </w:tcPr>
          <w:p>
            <w:pPr>
              <w:widowControl w:val="0"/>
              <w:adjustRightInd w:val="0"/>
              <w:snapToGrid w:val="0"/>
              <w:spacing w:line="240" w:lineRule="exact"/>
              <w:jc w:val="center"/>
              <w:rPr>
                <w:rFonts w:hint="eastAsia" w:ascii="仿宋_GB2312" w:hAnsi="仿宋_GB2312" w:eastAsia="仿宋_GB2312" w:cs="仿宋_GB2312"/>
                <w:color w:val="auto"/>
                <w:sz w:val="21"/>
                <w:szCs w:val="21"/>
                <w:lang w:bidi="ar"/>
              </w:rPr>
            </w:pPr>
            <w:r>
              <w:rPr>
                <w:rFonts w:hint="eastAsia" w:ascii="仿宋_GB2312" w:hAnsi="仿宋_GB2312" w:eastAsia="仿宋_GB2312" w:cs="仿宋_GB2312"/>
                <w:color w:val="auto"/>
                <w:sz w:val="21"/>
                <w:szCs w:val="21"/>
                <w:lang w:bidi="ar"/>
              </w:rPr>
              <w:t>提前完成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restar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社会事务</w:t>
            </w: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21</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节地生态安葬率</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70</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90</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bidi="ar"/>
              </w:rPr>
              <w:t>9</w:t>
            </w:r>
            <w:r>
              <w:rPr>
                <w:rFonts w:hint="eastAsia" w:ascii="仿宋_GB2312" w:hAnsi="仿宋_GB2312" w:eastAsia="仿宋_GB2312" w:cs="仿宋_GB2312"/>
                <w:color w:val="000000"/>
                <w:sz w:val="21"/>
                <w:szCs w:val="21"/>
                <w:lang w:val="en-US" w:eastAsia="zh-CN" w:bidi="ar"/>
              </w:rPr>
              <w:t>6</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93.8</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80</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bidi="ar"/>
              </w:rPr>
              <w:t>238</w:t>
            </w:r>
            <w:r>
              <w:rPr>
                <w:rFonts w:hint="eastAsia" w:ascii="仿宋_GB2312" w:hAnsi="仿宋_GB2312" w:eastAsia="仿宋_GB2312" w:cs="仿宋_GB2312"/>
                <w:color w:val="auto"/>
                <w:sz w:val="21"/>
                <w:szCs w:val="21"/>
                <w:lang w:bidi="ar"/>
              </w:rPr>
              <w:t>%</w:t>
            </w:r>
          </w:p>
        </w:tc>
        <w:tc>
          <w:tcPr>
            <w:tcW w:w="850" w:type="pct"/>
            <w:vAlign w:val="center"/>
          </w:tcPr>
          <w:p>
            <w:pPr>
              <w:widowControl w:val="0"/>
              <w:adjustRightInd w:val="0"/>
              <w:snapToGrid w:val="0"/>
              <w:spacing w:line="240" w:lineRule="exact"/>
              <w:jc w:val="center"/>
              <w:rPr>
                <w:rFonts w:hint="eastAsia" w:ascii="仿宋_GB2312" w:hAnsi="仿宋_GB2312" w:eastAsia="仿宋_GB2312" w:cs="仿宋_GB2312"/>
                <w:color w:val="auto"/>
                <w:sz w:val="21"/>
                <w:szCs w:val="21"/>
                <w:lang w:bidi="ar"/>
              </w:rPr>
            </w:pPr>
            <w:r>
              <w:rPr>
                <w:rFonts w:hint="eastAsia" w:ascii="仿宋_GB2312" w:hAnsi="仿宋_GB2312" w:eastAsia="仿宋_GB2312" w:cs="仿宋_GB2312"/>
                <w:color w:val="auto"/>
                <w:sz w:val="21"/>
                <w:szCs w:val="21"/>
                <w:lang w:bidi="ar"/>
              </w:rPr>
              <w:t>提前完成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22</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困难残疾人生活补贴覆盖率</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100</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100</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100</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bidi="ar"/>
              </w:rPr>
              <w:t>100%</w:t>
            </w:r>
          </w:p>
        </w:tc>
        <w:tc>
          <w:tcPr>
            <w:tcW w:w="850" w:type="pct"/>
            <w:vAlign w:val="center"/>
          </w:tcPr>
          <w:p>
            <w:pPr>
              <w:widowControl w:val="0"/>
              <w:adjustRightInd w:val="0"/>
              <w:snapToGrid w:val="0"/>
              <w:spacing w:line="240" w:lineRule="exact"/>
              <w:jc w:val="center"/>
              <w:rPr>
                <w:rFonts w:hint="eastAsia" w:ascii="仿宋_GB2312" w:hAnsi="仿宋_GB2312" w:eastAsia="仿宋_GB2312" w:cs="仿宋_GB2312"/>
                <w:color w:val="auto"/>
                <w:sz w:val="21"/>
                <w:szCs w:val="21"/>
                <w:lang w:bidi="ar"/>
              </w:rPr>
            </w:pPr>
            <w:r>
              <w:rPr>
                <w:rFonts w:hint="eastAsia" w:ascii="仿宋_GB2312" w:hAnsi="仿宋_GB2312" w:eastAsia="仿宋_GB2312" w:cs="仿宋_GB2312"/>
                <w:color w:val="auto"/>
                <w:sz w:val="21"/>
                <w:szCs w:val="21"/>
                <w:lang w:bidi="ar"/>
              </w:rPr>
              <w:t>提前完成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 w:type="pct"/>
            <w:vMerge w:val="continue"/>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p>
        </w:tc>
        <w:tc>
          <w:tcPr>
            <w:tcW w:w="198" w:type="pct"/>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23</w:t>
            </w:r>
          </w:p>
        </w:tc>
        <w:tc>
          <w:tcPr>
            <w:tcW w:w="969" w:type="pct"/>
            <w:gridSpan w:val="2"/>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重度残疾人护理补贴覆盖率</w:t>
            </w:r>
          </w:p>
        </w:tc>
        <w:tc>
          <w:tcPr>
            <w:tcW w:w="243" w:type="pct"/>
            <w:noWrap/>
            <w:vAlign w:val="center"/>
          </w:tcPr>
          <w:p>
            <w:pPr>
              <w:adjustRightInd w:val="0"/>
              <w:snapToGrid w:val="0"/>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w:t>
            </w:r>
          </w:p>
        </w:tc>
        <w:tc>
          <w:tcPr>
            <w:tcW w:w="305"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100</w:t>
            </w:r>
          </w:p>
        </w:tc>
        <w:tc>
          <w:tcPr>
            <w:tcW w:w="513" w:type="pct"/>
            <w:noWrap/>
            <w:vAlign w:val="center"/>
          </w:tcPr>
          <w:p>
            <w:pPr>
              <w:widowControl w:val="0"/>
              <w:adjustRightInd w:val="0"/>
              <w:snapToGrid w:val="0"/>
              <w:spacing w:line="24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100</w:t>
            </w:r>
          </w:p>
        </w:tc>
        <w:tc>
          <w:tcPr>
            <w:tcW w:w="482" w:type="pct"/>
            <w:noWrap/>
            <w:vAlign w:val="center"/>
          </w:tcPr>
          <w:p>
            <w:pPr>
              <w:widowControl w:val="0"/>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bidi="ar"/>
              </w:rPr>
              <w:t>100</w:t>
            </w:r>
          </w:p>
        </w:tc>
        <w:tc>
          <w:tcPr>
            <w:tcW w:w="514"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415" w:type="pct"/>
            <w:noWrap/>
            <w:vAlign w:val="center"/>
          </w:tcPr>
          <w:p>
            <w:pPr>
              <w:adjustRightInd w:val="0"/>
              <w:snapToGrid w:val="0"/>
              <w:spacing w:line="2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100</w:t>
            </w:r>
          </w:p>
        </w:tc>
        <w:tc>
          <w:tcPr>
            <w:tcW w:w="367" w:type="pct"/>
            <w:vAlign w:val="center"/>
          </w:tcPr>
          <w:p>
            <w:pPr>
              <w:widowControl w:val="0"/>
              <w:adjustRightInd w:val="0"/>
              <w:snapToGrid w:val="0"/>
              <w:spacing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bidi="ar"/>
              </w:rPr>
              <w:t>100%</w:t>
            </w:r>
          </w:p>
        </w:tc>
        <w:tc>
          <w:tcPr>
            <w:tcW w:w="850" w:type="pct"/>
            <w:vAlign w:val="center"/>
          </w:tcPr>
          <w:p>
            <w:pPr>
              <w:widowControl w:val="0"/>
              <w:adjustRightInd w:val="0"/>
              <w:snapToGrid w:val="0"/>
              <w:spacing w:line="240" w:lineRule="exact"/>
              <w:jc w:val="center"/>
              <w:rPr>
                <w:rFonts w:hint="eastAsia" w:ascii="仿宋_GB2312" w:hAnsi="仿宋_GB2312" w:eastAsia="仿宋_GB2312" w:cs="仿宋_GB2312"/>
                <w:color w:val="auto"/>
                <w:sz w:val="21"/>
                <w:szCs w:val="21"/>
                <w:lang w:bidi="ar"/>
              </w:rPr>
            </w:pPr>
            <w:r>
              <w:rPr>
                <w:rFonts w:hint="eastAsia" w:ascii="仿宋_GB2312" w:hAnsi="仿宋_GB2312" w:eastAsia="仿宋_GB2312" w:cs="仿宋_GB2312"/>
                <w:color w:val="auto"/>
                <w:sz w:val="21"/>
                <w:szCs w:val="21"/>
                <w:lang w:bidi="ar"/>
              </w:rPr>
              <w:t>提前完成</w:t>
            </w:r>
          </w:p>
        </w:tc>
      </w:tr>
    </w:tbl>
    <w:p>
      <w:pPr>
        <w:rPr>
          <w:rFonts w:hint="eastAsia"/>
        </w:rPr>
        <w:sectPr>
          <w:pgSz w:w="16838" w:h="11906" w:orient="landscape"/>
          <w:pgMar w:top="1134" w:right="1134" w:bottom="1134" w:left="1134" w:header="851" w:footer="992" w:gutter="0"/>
          <w:pgNumType w:fmt="decimal"/>
          <w:cols w:space="0" w:num="1"/>
          <w:rtlGutter w:val="0"/>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4DDB63D7"/>
    <w:rsid w:val="FF770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eastAsia="宋体"/>
      <w:szCs w:val="24"/>
    </w:rPr>
  </w:style>
  <w:style w:type="paragraph" w:styleId="3">
    <w:name w:val="Body Text Indent"/>
    <w:basedOn w:val="1"/>
    <w:qFormat/>
    <w:uiPriority w:val="0"/>
    <w:pPr>
      <w:ind w:firstLine="640" w:firstLineChars="200"/>
    </w:pPr>
    <w:rPr>
      <w:rFonts w:ascii="仿宋_GB2312" w:hAnsi="Times New Roman" w:eastAsia="仿宋_GB2312"/>
      <w:sz w:val="32"/>
      <w:szCs w:val="24"/>
    </w:r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郑锦婷</cp:lastModifiedBy>
  <dcterms:modified xsi:type="dcterms:W3CDTF">2024-01-08T17:50:51Z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FDD265E8A7113CE37BC59B6534989D40</vt:lpwstr>
  </property>
</Properties>
</file>