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atLeast"/>
        <w:jc w:val="left"/>
        <w:outlineLvl w:val="1"/>
        <w:rPr>
          <w:rFonts w:hint="eastAsia" w:ascii="方正黑体_GBK" w:hAnsi="方正黑体_GBK" w:eastAsia="方正黑体_GBK" w:cs="方正黑体_GBK"/>
          <w:b w:val="0"/>
          <w:bCs/>
          <w:kern w:val="0"/>
          <w:sz w:val="28"/>
          <w:szCs w:val="28"/>
          <w:lang w:val="en-US" w:eastAsia="zh-CN"/>
        </w:rPr>
      </w:pPr>
      <w:bookmarkStart w:id="0" w:name="_GoBack"/>
      <w:bookmarkEnd w:id="0"/>
      <w:r>
        <w:rPr>
          <w:rFonts w:hint="eastAsia" w:ascii="方正黑体_GBK" w:hAnsi="方正黑体_GBK" w:eastAsia="方正黑体_GBK" w:cs="方正黑体_GBK"/>
          <w:b w:val="0"/>
          <w:bCs/>
          <w:kern w:val="0"/>
          <w:sz w:val="28"/>
          <w:szCs w:val="28"/>
          <w:lang w:eastAsia="zh-CN"/>
        </w:rPr>
        <w:t>附件</w:t>
      </w:r>
      <w:r>
        <w:rPr>
          <w:rFonts w:hint="eastAsia" w:ascii="方正黑体_GBK" w:hAnsi="方正黑体_GBK" w:eastAsia="方正黑体_GBK" w:cs="方正黑体_GBK"/>
          <w:b w:val="0"/>
          <w:bCs/>
          <w:kern w:val="0"/>
          <w:sz w:val="28"/>
          <w:szCs w:val="28"/>
          <w:lang w:val="en-US" w:eastAsia="zh-CN"/>
        </w:rPr>
        <w:t>4</w:t>
      </w:r>
    </w:p>
    <w:p>
      <w:pPr>
        <w:spacing w:line="450" w:lineRule="atLeast"/>
        <w:jc w:val="left"/>
        <w:outlineLvl w:val="1"/>
        <w:rPr>
          <w:rFonts w:hint="eastAsia" w:ascii="方正黑体_GBK" w:hAnsi="方正黑体_GBK" w:eastAsia="方正黑体_GBK" w:cs="方正黑体_GBK"/>
          <w:b/>
          <w:kern w:val="0"/>
          <w:sz w:val="24"/>
          <w:szCs w:val="24"/>
          <w:lang w:val="en-US" w:eastAsia="zh-CN"/>
        </w:rPr>
      </w:pPr>
    </w:p>
    <w:p>
      <w:pPr>
        <w:spacing w:line="450" w:lineRule="atLeast"/>
        <w:jc w:val="center"/>
        <w:outlineLvl w:val="1"/>
        <w:rPr>
          <w:rFonts w:hint="eastAsia"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t>深圳市救助管理站</w:t>
      </w:r>
      <w:r>
        <w:rPr>
          <w:rFonts w:hint="eastAsia" w:cs="宋体" w:asciiTheme="majorEastAsia" w:hAnsiTheme="majorEastAsia" w:eastAsiaTheme="majorEastAsia"/>
          <w:b/>
          <w:kern w:val="0"/>
          <w:sz w:val="36"/>
          <w:szCs w:val="36"/>
        </w:rPr>
        <w:t>2024年度“日常救助人力资源保障”及“员额管理”</w:t>
      </w:r>
      <w:r>
        <w:rPr>
          <w:rFonts w:cs="宋体" w:asciiTheme="majorEastAsia" w:hAnsiTheme="majorEastAsia" w:eastAsiaTheme="majorEastAsia"/>
          <w:b/>
          <w:kern w:val="0"/>
          <w:sz w:val="36"/>
          <w:szCs w:val="36"/>
        </w:rPr>
        <w:t>项目</w:t>
      </w:r>
      <w:r>
        <w:rPr>
          <w:rFonts w:hint="eastAsia" w:cs="宋体" w:asciiTheme="majorEastAsia" w:hAnsiTheme="majorEastAsia" w:eastAsiaTheme="majorEastAsia"/>
          <w:b/>
          <w:kern w:val="0"/>
          <w:sz w:val="36"/>
          <w:szCs w:val="36"/>
        </w:rPr>
        <w:t>报价表</w:t>
      </w:r>
    </w:p>
    <w:p>
      <w:pPr>
        <w:spacing w:line="450" w:lineRule="atLeast"/>
        <w:jc w:val="center"/>
        <w:outlineLvl w:val="1"/>
        <w:rPr>
          <w:rFonts w:cs="宋体" w:asciiTheme="majorEastAsia" w:hAnsiTheme="majorEastAsia" w:eastAsiaTheme="majorEastAsia"/>
          <w:b/>
          <w:kern w:val="0"/>
          <w:sz w:val="36"/>
          <w:szCs w:val="36"/>
        </w:rPr>
      </w:pPr>
    </w:p>
    <w:p>
      <w:pPr>
        <w:spacing w:line="450" w:lineRule="atLeast"/>
        <w:jc w:val="both"/>
        <w:outlineLvl w:val="1"/>
        <w:rPr>
          <w:rFonts w:cs="宋体" w:asciiTheme="majorEastAsia" w:hAnsiTheme="majorEastAsia" w:eastAsiaTheme="majorEastAsia"/>
          <w:b w:val="0"/>
          <w:bCs/>
          <w:kern w:val="0"/>
          <w:sz w:val="32"/>
          <w:szCs w:val="32"/>
        </w:rPr>
      </w:pPr>
      <w:r>
        <w:rPr>
          <w:rFonts w:hint="default" w:ascii="仿宋_GB2312" w:hAnsi="宋体" w:eastAsia="仿宋_GB2312" w:cs="宋体"/>
          <w:b w:val="0"/>
          <w:bCs/>
          <w:color w:val="444444"/>
          <w:kern w:val="0"/>
          <w:sz w:val="32"/>
          <w:szCs w:val="32"/>
        </w:rPr>
        <w:t>投标单位（公章）：</w:t>
      </w:r>
    </w:p>
    <w:tbl>
      <w:tblPr>
        <w:tblStyle w:val="3"/>
        <w:tblW w:w="10197" w:type="dxa"/>
        <w:tblInd w:w="-875" w:type="dxa"/>
        <w:tblLayout w:type="autofit"/>
        <w:tblCellMar>
          <w:top w:w="15" w:type="dxa"/>
          <w:left w:w="15" w:type="dxa"/>
          <w:bottom w:w="15" w:type="dxa"/>
          <w:right w:w="15" w:type="dxa"/>
        </w:tblCellMar>
      </w:tblPr>
      <w:tblGrid>
        <w:gridCol w:w="2132"/>
        <w:gridCol w:w="816"/>
        <w:gridCol w:w="3402"/>
        <w:gridCol w:w="1701"/>
        <w:gridCol w:w="2146"/>
      </w:tblGrid>
      <w:tr>
        <w:tblPrEx>
          <w:tblCellMar>
            <w:top w:w="15" w:type="dxa"/>
            <w:left w:w="15" w:type="dxa"/>
            <w:bottom w:w="15" w:type="dxa"/>
            <w:right w:w="15" w:type="dxa"/>
          </w:tblCellMar>
        </w:tblPrEx>
        <w:trPr>
          <w:trHeight w:val="942" w:hRule="atLeast"/>
        </w:trPr>
        <w:tc>
          <w:tcPr>
            <w:tcW w:w="213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b/>
                <w:color w:val="444444"/>
                <w:kern w:val="0"/>
                <w:sz w:val="24"/>
                <w:szCs w:val="24"/>
              </w:rPr>
            </w:pPr>
            <w:r>
              <w:rPr>
                <w:rFonts w:hint="eastAsia" w:ascii="仿宋_GB2312" w:hAnsi="宋体" w:eastAsia="仿宋_GB2312" w:cs="宋体"/>
                <w:b/>
                <w:color w:val="444444"/>
                <w:kern w:val="0"/>
                <w:sz w:val="24"/>
                <w:szCs w:val="24"/>
              </w:rPr>
              <w:t>采购内容</w:t>
            </w:r>
          </w:p>
        </w:tc>
        <w:tc>
          <w:tcPr>
            <w:tcW w:w="81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b/>
                <w:color w:val="444444"/>
                <w:kern w:val="0"/>
                <w:sz w:val="24"/>
                <w:szCs w:val="24"/>
              </w:rPr>
            </w:pPr>
            <w:r>
              <w:rPr>
                <w:rFonts w:hint="eastAsia" w:ascii="仿宋_GB2312" w:hAnsi="宋体" w:eastAsia="仿宋_GB2312" w:cs="宋体"/>
                <w:b/>
                <w:color w:val="444444"/>
                <w:kern w:val="0"/>
                <w:sz w:val="24"/>
                <w:szCs w:val="24"/>
              </w:rPr>
              <w:t>数量</w:t>
            </w:r>
          </w:p>
        </w:tc>
        <w:tc>
          <w:tcPr>
            <w:tcW w:w="340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b/>
                <w:color w:val="444444"/>
                <w:kern w:val="0"/>
                <w:sz w:val="24"/>
                <w:szCs w:val="24"/>
              </w:rPr>
            </w:pPr>
            <w:r>
              <w:rPr>
                <w:rFonts w:hint="eastAsia" w:ascii="仿宋_GB2312" w:hAnsi="宋体" w:eastAsia="仿宋_GB2312" w:cs="宋体"/>
                <w:b/>
                <w:color w:val="444444"/>
                <w:kern w:val="0"/>
                <w:sz w:val="24"/>
                <w:szCs w:val="24"/>
              </w:rPr>
              <w:t>服务期</w:t>
            </w:r>
          </w:p>
        </w:tc>
        <w:tc>
          <w:tcPr>
            <w:tcW w:w="1701"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b/>
                <w:color w:val="444444"/>
                <w:kern w:val="0"/>
                <w:sz w:val="24"/>
                <w:szCs w:val="24"/>
              </w:rPr>
            </w:pPr>
            <w:r>
              <w:rPr>
                <w:rFonts w:hint="eastAsia" w:ascii="仿宋_GB2312" w:hAnsi="宋体" w:eastAsia="仿宋_GB2312" w:cs="宋体"/>
                <w:b/>
                <w:color w:val="444444"/>
                <w:kern w:val="0"/>
                <w:sz w:val="24"/>
                <w:szCs w:val="24"/>
              </w:rPr>
              <w:t>管理费年度最高支付上限</w:t>
            </w:r>
          </w:p>
        </w:tc>
        <w:tc>
          <w:tcPr>
            <w:tcW w:w="214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b/>
                <w:color w:val="444444"/>
                <w:kern w:val="0"/>
                <w:sz w:val="24"/>
                <w:szCs w:val="24"/>
              </w:rPr>
            </w:pPr>
            <w:r>
              <w:rPr>
                <w:rFonts w:hint="eastAsia" w:ascii="仿宋_GB2312" w:hAnsi="宋体" w:eastAsia="仿宋_GB2312" w:cs="宋体"/>
                <w:b/>
                <w:color w:val="444444"/>
                <w:kern w:val="0"/>
                <w:sz w:val="24"/>
                <w:szCs w:val="24"/>
              </w:rPr>
              <w:t>报价</w:t>
            </w:r>
          </w:p>
        </w:tc>
      </w:tr>
      <w:tr>
        <w:tblPrEx>
          <w:tblCellMar>
            <w:top w:w="15" w:type="dxa"/>
            <w:left w:w="15" w:type="dxa"/>
            <w:bottom w:w="15" w:type="dxa"/>
            <w:right w:w="15" w:type="dxa"/>
          </w:tblCellMar>
        </w:tblPrEx>
        <w:trPr>
          <w:trHeight w:val="2954" w:hRule="atLeast"/>
        </w:trPr>
        <w:tc>
          <w:tcPr>
            <w:tcW w:w="213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深圳市救助管理站2024年度日常救助人力资源保障</w:t>
            </w:r>
          </w:p>
        </w:tc>
        <w:tc>
          <w:tcPr>
            <w:tcW w:w="81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1</w:t>
            </w:r>
          </w:p>
        </w:tc>
        <w:tc>
          <w:tcPr>
            <w:tcW w:w="340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确定中标人后，双方必须按要求签订采购合同，服务期限为自合同签订之日起1年。如果中标人不能按合同要求履约，采购人有权终止合同。合同期满后，采购人可根据项目需要和中标人履约情况单方确定合同期限是否续期，但项目服务期最长不超过36个月。</w:t>
            </w:r>
          </w:p>
        </w:tc>
        <w:tc>
          <w:tcPr>
            <w:tcW w:w="1701"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人民币10.80万元</w:t>
            </w:r>
          </w:p>
        </w:tc>
        <w:tc>
          <w:tcPr>
            <w:tcW w:w="214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rPr>
                <w:rFonts w:ascii="仿宋_GB2312" w:hAnsi="宋体" w:eastAsia="仿宋_GB2312" w:cs="宋体"/>
                <w:color w:val="444444"/>
                <w:kern w:val="0"/>
                <w:sz w:val="24"/>
                <w:szCs w:val="24"/>
              </w:rPr>
            </w:pPr>
          </w:p>
        </w:tc>
      </w:tr>
      <w:tr>
        <w:tblPrEx>
          <w:tblCellMar>
            <w:top w:w="15" w:type="dxa"/>
            <w:left w:w="15" w:type="dxa"/>
            <w:bottom w:w="15" w:type="dxa"/>
            <w:right w:w="15" w:type="dxa"/>
          </w:tblCellMar>
        </w:tblPrEx>
        <w:trPr>
          <w:trHeight w:val="2954" w:hRule="atLeast"/>
        </w:trPr>
        <w:tc>
          <w:tcPr>
            <w:tcW w:w="213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深圳市救助管理站2024年度员额管理</w:t>
            </w:r>
          </w:p>
        </w:tc>
        <w:tc>
          <w:tcPr>
            <w:tcW w:w="81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1</w:t>
            </w:r>
          </w:p>
        </w:tc>
        <w:tc>
          <w:tcPr>
            <w:tcW w:w="340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确定中标人后，双方必须按要求签订采购合同，服务期限为自合同签订之日起1年。如果中标人不能按合同要求履约，采购人有权终止合同。合同期满后，采购人可根据项目需要和中标人履约情况单方确定合同期限是否续期，但项目服务期最长不超过36个月。</w:t>
            </w:r>
          </w:p>
        </w:tc>
        <w:tc>
          <w:tcPr>
            <w:tcW w:w="1701"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人民币3.816万元</w:t>
            </w:r>
          </w:p>
        </w:tc>
        <w:tc>
          <w:tcPr>
            <w:tcW w:w="214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rPr>
                <w:rFonts w:ascii="仿宋_GB2312" w:hAnsi="宋体" w:eastAsia="仿宋_GB2312" w:cs="宋体"/>
                <w:color w:val="444444"/>
                <w:kern w:val="0"/>
                <w:sz w:val="24"/>
                <w:szCs w:val="24"/>
              </w:rPr>
            </w:pPr>
          </w:p>
        </w:tc>
      </w:tr>
      <w:tr>
        <w:tblPrEx>
          <w:tblCellMar>
            <w:top w:w="15" w:type="dxa"/>
            <w:left w:w="15" w:type="dxa"/>
            <w:bottom w:w="15" w:type="dxa"/>
            <w:right w:w="15" w:type="dxa"/>
          </w:tblCellMar>
        </w:tblPrEx>
        <w:trPr>
          <w:trHeight w:val="808" w:hRule="atLeast"/>
        </w:trPr>
        <w:tc>
          <w:tcPr>
            <w:tcW w:w="213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合计</w:t>
            </w:r>
          </w:p>
        </w:tc>
        <w:tc>
          <w:tcPr>
            <w:tcW w:w="81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p>
        </w:tc>
        <w:tc>
          <w:tcPr>
            <w:tcW w:w="3402"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jc w:val="center"/>
              <w:rPr>
                <w:rFonts w:ascii="仿宋_GB2312" w:hAnsi="宋体" w:eastAsia="仿宋_GB2312" w:cs="宋体"/>
                <w:color w:val="444444"/>
                <w:kern w:val="0"/>
                <w:sz w:val="24"/>
                <w:szCs w:val="24"/>
              </w:rPr>
            </w:pPr>
          </w:p>
        </w:tc>
        <w:tc>
          <w:tcPr>
            <w:tcW w:w="1701"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rPr>
                <w:rFonts w:ascii="仿宋_GB2312" w:hAnsi="宋体" w:eastAsia="仿宋_GB2312" w:cs="宋体"/>
                <w:color w:val="444444"/>
                <w:kern w:val="0"/>
                <w:sz w:val="24"/>
                <w:szCs w:val="24"/>
              </w:rPr>
            </w:pPr>
            <w:r>
              <w:rPr>
                <w:rFonts w:hint="eastAsia" w:ascii="仿宋_GB2312" w:hAnsi="宋体" w:eastAsia="仿宋_GB2312" w:cs="宋体"/>
                <w:color w:val="444444"/>
                <w:kern w:val="0"/>
                <w:sz w:val="24"/>
                <w:szCs w:val="24"/>
              </w:rPr>
              <w:t>人民币14.616万元</w:t>
            </w:r>
          </w:p>
        </w:tc>
        <w:tc>
          <w:tcPr>
            <w:tcW w:w="2146"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rPr>
                <w:rFonts w:ascii="仿宋_GB2312" w:hAnsi="宋体" w:eastAsia="仿宋_GB2312" w:cs="宋体"/>
                <w:color w:val="444444"/>
                <w:kern w:val="0"/>
                <w:sz w:val="24"/>
                <w:szCs w:val="24"/>
              </w:rPr>
            </w:pPr>
          </w:p>
        </w:tc>
      </w:tr>
    </w:tbl>
    <w:p>
      <w:pPr>
        <w:shd w:val="clear" w:color="auto" w:fill="FFFFFF"/>
        <w:spacing w:line="320" w:lineRule="exact"/>
        <w:ind w:firstLine="424"/>
        <w:rPr>
          <w:rFonts w:hint="eastAsia" w:ascii="仿宋_GB2312" w:hAnsi="宋体" w:eastAsia="仿宋_GB2312" w:cs="宋体"/>
          <w:color w:val="444444"/>
          <w:kern w:val="0"/>
          <w:sz w:val="28"/>
          <w:szCs w:val="28"/>
        </w:rPr>
      </w:pPr>
    </w:p>
    <w:p>
      <w:pPr>
        <w:shd w:val="clear" w:color="auto" w:fill="FFFFFF"/>
        <w:spacing w:line="320" w:lineRule="exact"/>
        <w:ind w:firstLine="424"/>
        <w:jc w:val="both"/>
        <w:rPr>
          <w:rFonts w:ascii="仿宋_GB2312" w:hAnsi="宋体" w:eastAsia="仿宋_GB2312" w:cs="宋体"/>
          <w:color w:val="444444"/>
          <w:kern w:val="0"/>
          <w:sz w:val="24"/>
          <w:szCs w:val="24"/>
        </w:rPr>
      </w:pPr>
      <w:r>
        <w:rPr>
          <w:rFonts w:hint="eastAsia" w:ascii="仿宋_GB2312" w:hAnsi="宋体" w:eastAsia="仿宋_GB2312" w:cs="宋体"/>
          <w:color w:val="444444"/>
          <w:kern w:val="0"/>
          <w:sz w:val="28"/>
          <w:szCs w:val="28"/>
        </w:rPr>
        <w:t>说明：以上两个项合需分项目报价，以合计投标报价</w:t>
      </w:r>
      <w:r>
        <w:rPr>
          <w:rFonts w:hint="eastAsia" w:ascii="仿宋_GB2312" w:hAnsi="宋体" w:eastAsia="仿宋_GB2312" w:cs="宋体"/>
          <w:color w:val="444444"/>
          <w:kern w:val="0"/>
          <w:sz w:val="24"/>
          <w:szCs w:val="24"/>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C1"/>
    <w:rsid w:val="00026244"/>
    <w:rsid w:val="00376FD7"/>
    <w:rsid w:val="005079C1"/>
    <w:rsid w:val="00567A88"/>
    <w:rsid w:val="00951C89"/>
    <w:rsid w:val="00AD7535"/>
    <w:rsid w:val="5DF7E491"/>
    <w:rsid w:val="8DAD0598"/>
    <w:rsid w:val="8FEB5406"/>
    <w:rsid w:val="BA5F3D1A"/>
    <w:rsid w:val="C1D05C92"/>
    <w:rsid w:val="DEDE75C0"/>
    <w:rsid w:val="FCEF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heme="minorHAnsi" w:hAnsiTheme="minorHAnsi" w:eastAsiaTheme="minorEastAsia" w:cstheme="minorBid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0"/>
    <w:pPr>
      <w:spacing w:before="240" w:after="60" w:line="260" w:lineRule="exact"/>
      <w:jc w:val="center"/>
      <w:outlineLvl w:val="0"/>
    </w:pPr>
    <w:rPr>
      <w:rFonts w:eastAsia="宋体" w:asciiTheme="majorHAnsi" w:hAnsiTheme="majorHAnsi" w:cstheme="majorBidi"/>
      <w:b/>
      <w:bCs/>
      <w:sz w:val="32"/>
      <w:szCs w:val="32"/>
    </w:rPr>
  </w:style>
  <w:style w:type="character" w:customStyle="1" w:styleId="5">
    <w:name w:val="标题 Char"/>
    <w:basedOn w:val="4"/>
    <w:link w:val="2"/>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63</Words>
  <Characters>360</Characters>
  <Lines>3</Lines>
  <Paragraphs>1</Paragraphs>
  <TotalTime>1</TotalTime>
  <ScaleCrop>false</ScaleCrop>
  <LinksUpToDate>false</LinksUpToDate>
  <CharactersWithSpaces>422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2023-12-09T15:20:00Z</dcterms:created>
  <dc:creator>chenyu0627</dc:creator>
  <cp:lastModifiedBy>郑锦婷</cp:lastModifiedBy>
  <dcterms:modified xsi:type="dcterms:W3CDTF">2023-12-11T16:43:56Z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50053233C7934AE726C37665C3B11AF1</vt:lpwstr>
  </property>
</Properties>
</file>