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黑体" w:hAnsi="黑体" w:eastAsia="黑体" w:cs="黑体"/>
          <w:spacing w:val="10"/>
          <w:kern w:val="0"/>
          <w:sz w:val="32"/>
          <w:szCs w:val="32"/>
        </w:rPr>
      </w:pPr>
      <w:r>
        <w:rPr>
          <w:rFonts w:hint="eastAsia" w:ascii="黑体" w:hAnsi="黑体" w:eastAsia="黑体" w:cs="黑体"/>
          <w:spacing w:val="10"/>
          <w:kern w:val="0"/>
          <w:sz w:val="32"/>
          <w:szCs w:val="32"/>
        </w:rPr>
        <w:t>附件2</w:t>
      </w:r>
    </w:p>
    <w:p>
      <w:pPr>
        <w:snapToGrid w:val="0"/>
        <w:spacing w:line="360" w:lineRule="auto"/>
        <w:ind w:firstLine="923" w:firstLineChars="200"/>
        <w:jc w:val="center"/>
        <w:rPr>
          <w:rFonts w:ascii="方正小标宋简体" w:hAnsi="方正小标宋简体" w:eastAsia="方正小标宋简体" w:cs="方正小标宋简体"/>
          <w:b/>
          <w:spacing w:val="10"/>
          <w:kern w:val="0"/>
          <w:sz w:val="44"/>
          <w:szCs w:val="44"/>
        </w:rPr>
      </w:pPr>
      <w:r>
        <w:rPr>
          <w:rFonts w:hint="eastAsia" w:ascii="方正小标宋简体" w:hAnsi="方正小标宋简体" w:eastAsia="方正小标宋简体" w:cs="方正小标宋简体"/>
          <w:b/>
          <w:spacing w:val="10"/>
          <w:kern w:val="0"/>
          <w:sz w:val="44"/>
          <w:szCs w:val="44"/>
        </w:rPr>
        <w:t>评标方法</w:t>
      </w:r>
    </w:p>
    <w:p>
      <w:pPr>
        <w:snapToGrid w:val="0"/>
        <w:spacing w:line="360" w:lineRule="auto"/>
        <w:jc w:val="left"/>
        <w:rPr>
          <w:rFonts w:ascii="仿宋_GB2312" w:hAnsi="仿宋" w:eastAsia="仿宋_GB2312" w:cs="仿宋_GB2312"/>
          <w:spacing w:val="10"/>
          <w:kern w:val="0"/>
          <w:sz w:val="28"/>
          <w:szCs w:val="28"/>
        </w:rPr>
      </w:pPr>
      <w:bookmarkStart w:id="0" w:name="_GoBack"/>
      <w:bookmarkEnd w:id="0"/>
      <w:r>
        <w:rPr>
          <w:rFonts w:hint="eastAsia" w:ascii="仿宋_GB2312" w:hAnsi="仿宋" w:eastAsia="仿宋_GB2312" w:cs="仿宋_GB2312"/>
          <w:spacing w:val="10"/>
          <w:kern w:val="0"/>
          <w:sz w:val="28"/>
          <w:szCs w:val="28"/>
        </w:rPr>
        <w:t>评标方法为综合评分法。</w:t>
      </w:r>
    </w:p>
    <w:p>
      <w:pPr>
        <w:snapToGrid w:val="0"/>
        <w:spacing w:line="360" w:lineRule="auto"/>
        <w:jc w:val="left"/>
        <w:rPr>
          <w:rFonts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评审小组会按综合得分由高到低的顺序排出各有效投标的名次，得分最高的投标人为本项目中标人。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663"/>
        <w:gridCol w:w="1106"/>
        <w:gridCol w:w="808"/>
        <w:gridCol w:w="9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序号</w:t>
            </w:r>
          </w:p>
        </w:tc>
        <w:tc>
          <w:tcPr>
            <w:tcW w:w="3544"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评分项</w:t>
            </w:r>
          </w:p>
        </w:tc>
        <w:tc>
          <w:tcPr>
            <w:tcW w:w="466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w:t>
            </w:r>
          </w:p>
        </w:tc>
        <w:tc>
          <w:tcPr>
            <w:tcW w:w="3544" w:type="dxa"/>
            <w:gridSpan w:val="4"/>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价格</w:t>
            </w:r>
          </w:p>
        </w:tc>
        <w:tc>
          <w:tcPr>
            <w:tcW w:w="466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34" w:type="dxa"/>
            <w:gridSpan w:val="7"/>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2</w:t>
            </w:r>
          </w:p>
        </w:tc>
        <w:tc>
          <w:tcPr>
            <w:tcW w:w="3832"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技术部分</w:t>
            </w:r>
          </w:p>
        </w:tc>
        <w:tc>
          <w:tcPr>
            <w:tcW w:w="466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序号</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评分因素</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评分方式</w:t>
            </w:r>
          </w:p>
        </w:tc>
        <w:tc>
          <w:tcPr>
            <w:tcW w:w="466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Calibri"/>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项目实施方案</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12</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专家打分</w:t>
            </w:r>
          </w:p>
        </w:tc>
        <w:tc>
          <w:tcPr>
            <w:tcW w:w="4668" w:type="dxa"/>
            <w:tcBorders>
              <w:top w:val="single" w:color="auto" w:sz="4" w:space="0"/>
              <w:left w:val="nil"/>
              <w:bottom w:val="single" w:color="auto" w:sz="4" w:space="0"/>
              <w:right w:val="single" w:color="auto" w:sz="4" w:space="0"/>
            </w:tcBorders>
            <w:vAlign w:val="center"/>
          </w:tcPr>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b/>
                <w:spacing w:val="10"/>
                <w:sz w:val="24"/>
              </w:rPr>
              <w:t>评审内容</w:t>
            </w:r>
            <w:r>
              <w:rPr>
                <w:rFonts w:hint="eastAsia" w:ascii="仿宋_GB2312" w:hAnsi="Times New Roman" w:eastAsia="仿宋_GB2312" w:cs="仿宋_GB2312"/>
                <w:spacing w:val="10"/>
                <w:sz w:val="24"/>
              </w:rPr>
              <w:t>：根据各投标人拟定的项目实施方案，对该项目拟采取的工作措施、方法、手段和流程等方面进行评审。</w:t>
            </w:r>
          </w:p>
          <w:p>
            <w:pPr>
              <w:snapToGrid w:val="0"/>
              <w:jc w:val="left"/>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评分标准：</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1、项目实施方案内容详尽。</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2、项目实施方案分析全面且贴合项目实际情况。</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3、项目实施方案计划、进度和人员安排合理；</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4、项目实施有质量和进度的保障措施；</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满足以上四项要求得12分，满足以上三项要求得8分，满足以上两项要求得6分，未满足不得分。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Calibri"/>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项目重点难点分析、应对措施及相关的合理化建议</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12</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专家打分</w:t>
            </w:r>
          </w:p>
        </w:tc>
        <w:tc>
          <w:tcPr>
            <w:tcW w:w="4668" w:type="dxa"/>
            <w:tcBorders>
              <w:top w:val="single" w:color="auto" w:sz="4" w:space="0"/>
              <w:left w:val="nil"/>
              <w:bottom w:val="single" w:color="auto" w:sz="4" w:space="0"/>
              <w:right w:val="single" w:color="auto" w:sz="4" w:space="0"/>
            </w:tcBorders>
            <w:vAlign w:val="center"/>
          </w:tcPr>
          <w:p>
            <w:pPr>
              <w:snapToGrid w:val="0"/>
              <w:jc w:val="left"/>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评审内容</w:t>
            </w:r>
            <w:r>
              <w:rPr>
                <w:rFonts w:hint="eastAsia" w:ascii="仿宋_GB2312" w:hAnsi="Times New Roman" w:eastAsia="仿宋_GB2312" w:cs="仿宋_GB2312"/>
                <w:spacing w:val="10"/>
                <w:sz w:val="24"/>
              </w:rPr>
              <w:t>：</w:t>
            </w:r>
            <w:r>
              <w:rPr>
                <w:rFonts w:hint="eastAsia" w:ascii="仿宋_GB2312" w:hAnsi="Times New Roman" w:eastAsia="仿宋_GB2312" w:cs="仿宋_GB2312"/>
                <w:bCs/>
                <w:spacing w:val="10"/>
                <w:sz w:val="24"/>
              </w:rPr>
              <w:t>针对本项目的重点和难点问题识别、阐述、分析及拟采用的解决方案是否准确到位；解决项目中存在问题的思路及对策是否有针对性等进行评审。</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1、识别并阐述本项目的重点和难点问题；</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2、分析本项目的重点和难点问题；</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3、提出具体可行的解决方案；</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4、针对本项目的重点和难点问题，提出合理化建议；</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满足以上四项要求得12分，满足以上三项要求得8分，满足以上两项要求得6分，其它情况不得分。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Calibri"/>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3</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质量（完成时间、安全、环保）保障措施及方案</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专家打分</w:t>
            </w:r>
          </w:p>
        </w:tc>
        <w:tc>
          <w:tcPr>
            <w:tcW w:w="4668" w:type="dxa"/>
            <w:tcBorders>
              <w:top w:val="single" w:color="auto" w:sz="4" w:space="0"/>
              <w:left w:val="nil"/>
              <w:bottom w:val="single" w:color="auto" w:sz="4" w:space="0"/>
              <w:right w:val="single" w:color="auto" w:sz="4" w:space="0"/>
            </w:tcBorders>
            <w:vAlign w:val="center"/>
          </w:tcPr>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b/>
                <w:spacing w:val="10"/>
                <w:sz w:val="24"/>
              </w:rPr>
              <w:t>评审内容</w:t>
            </w:r>
            <w:r>
              <w:rPr>
                <w:rFonts w:hint="eastAsia" w:ascii="仿宋_GB2312" w:hAnsi="Times New Roman" w:eastAsia="仿宋_GB2312" w:cs="仿宋_GB2312"/>
                <w:spacing w:val="10"/>
                <w:sz w:val="24"/>
              </w:rPr>
              <w:t>：由投标单位做出与本项目实际情况贴切，包括完成时间、安全保障、环保、增值服务等内容的质量保障措施及方案。</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1、质量保障措施及方案内容全面；</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2、质量保障措施及方案内容具体；</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3、质量保障措施及方案内容针对性强；</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4、质量保障措施及方案内容科学合理；</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5、质量保障措施及方案内容可操作性强。</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满足以上五项要求得10分，满足以上四项要求得8分，满足以上三项要求得6分，其它情况不得分。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仿宋_GB2312" w:cs="Calibri"/>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4</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项目完成后的服务承诺</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3</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专家打分</w:t>
            </w:r>
          </w:p>
        </w:tc>
        <w:tc>
          <w:tcPr>
            <w:tcW w:w="4668" w:type="dxa"/>
            <w:tcBorders>
              <w:top w:val="single" w:color="auto" w:sz="4" w:space="0"/>
              <w:left w:val="nil"/>
              <w:bottom w:val="single" w:color="auto" w:sz="4" w:space="0"/>
              <w:right w:val="single" w:color="auto" w:sz="4" w:space="0"/>
            </w:tcBorders>
            <w:vAlign w:val="center"/>
          </w:tcPr>
          <w:p>
            <w:pPr>
              <w:rPr>
                <w:rFonts w:ascii="仿宋_GB2312" w:hAnsi="Times New Roman" w:eastAsia="仿宋_GB2312" w:cs="仿宋_GB2312"/>
                <w:spacing w:val="10"/>
                <w:sz w:val="24"/>
              </w:rPr>
            </w:pPr>
            <w:r>
              <w:rPr>
                <w:rFonts w:hint="eastAsia" w:ascii="仿宋_GB2312" w:hAnsi="Times New Roman" w:eastAsia="仿宋_GB2312" w:cs="仿宋_GB2312"/>
                <w:b/>
                <w:spacing w:val="10"/>
                <w:sz w:val="24"/>
              </w:rPr>
              <w:t>评审内容：</w:t>
            </w:r>
            <w:r>
              <w:rPr>
                <w:rFonts w:hint="eastAsia" w:ascii="仿宋_GB2312" w:hAnsi="Times New Roman" w:eastAsia="仿宋_GB2312" w:cs="仿宋_GB2312"/>
                <w:spacing w:val="10"/>
                <w:sz w:val="24"/>
              </w:rPr>
              <w:t>由投标单位做出服务书面承诺。即对服务内容工作的服务保障。根据招标文件的需求和投标文件响应情况进行评审。</w:t>
            </w:r>
          </w:p>
          <w:p>
            <w:pPr>
              <w:rPr>
                <w:rFonts w:ascii="仿宋_GB2312" w:hAnsi="Times New Roman" w:eastAsia="仿宋_GB2312" w:cs="仿宋_GB2312"/>
                <w:spacing w:val="10"/>
                <w:sz w:val="24"/>
              </w:rPr>
            </w:pPr>
            <w:r>
              <w:rPr>
                <w:rFonts w:hint="eastAsia" w:ascii="仿宋_GB2312" w:hAnsi="Times New Roman" w:eastAsia="仿宋_GB2312" w:cs="仿宋_GB2312"/>
                <w:b/>
                <w:spacing w:val="10"/>
                <w:sz w:val="24"/>
              </w:rPr>
              <w:t>评分标准</w:t>
            </w:r>
            <w:r>
              <w:rPr>
                <w:rFonts w:hint="eastAsia" w:ascii="仿宋_GB2312" w:hAnsi="Times New Roman" w:eastAsia="仿宋_GB2312" w:cs="仿宋_GB2312"/>
                <w:spacing w:val="10"/>
                <w:sz w:val="24"/>
              </w:rPr>
              <w:t>：要求提供项目完成（服务期满）后的服务承诺</w:t>
            </w:r>
            <w:r>
              <w:rPr>
                <w:rFonts w:hint="eastAsia" w:ascii="仿宋_GB2312" w:hAnsi="Times New Roman" w:eastAsia="仿宋_GB2312" w:cs="仿宋_GB2312"/>
                <w:bCs/>
                <w:spacing w:val="10"/>
                <w:sz w:val="24"/>
              </w:rPr>
              <w:t>（格式自定）</w:t>
            </w:r>
            <w:r>
              <w:rPr>
                <w:rFonts w:hint="eastAsia" w:ascii="仿宋_GB2312" w:hAnsi="Times New Roman" w:eastAsia="仿宋_GB2312" w:cs="仿宋_GB2312"/>
                <w:spacing w:val="10"/>
                <w:sz w:val="24"/>
              </w:rPr>
              <w:t>作为得分依据，按要求提供得满分，未提供承诺或承诺内容不满足要求不得分。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cs="Calibri"/>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5</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宋体" w:eastAsia="仿宋_GB2312" w:cs="宋体"/>
                <w:spacing w:val="10"/>
                <w:szCs w:val="21"/>
              </w:rPr>
              <w:t>违约承诺</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3</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专家打分</w:t>
            </w:r>
          </w:p>
        </w:tc>
        <w:tc>
          <w:tcPr>
            <w:tcW w:w="4668" w:type="dxa"/>
            <w:tcBorders>
              <w:top w:val="single" w:color="auto" w:sz="4" w:space="0"/>
              <w:left w:val="nil"/>
              <w:bottom w:val="single" w:color="auto" w:sz="4" w:space="0"/>
              <w:right w:val="single" w:color="auto" w:sz="4" w:space="0"/>
            </w:tcBorders>
            <w:vAlign w:val="center"/>
          </w:tcPr>
          <w:p>
            <w:pP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评审内容：</w:t>
            </w:r>
            <w:r>
              <w:rPr>
                <w:rFonts w:hint="eastAsia" w:ascii="仿宋_GB2312" w:hAnsi="Times New Roman" w:eastAsia="仿宋_GB2312" w:cs="仿宋_GB2312"/>
                <w:spacing w:val="10"/>
                <w:sz w:val="24"/>
              </w:rPr>
              <w:t>违约的赔付及违约后的处理方式：尽可能的降低采购方的损失。</w:t>
            </w:r>
          </w:p>
          <w:p>
            <w:pP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评分标准：</w:t>
            </w:r>
            <w:r>
              <w:rPr>
                <w:rFonts w:hint="eastAsia" w:ascii="仿宋_GB2312" w:hAnsi="Times New Roman" w:eastAsia="仿宋_GB2312" w:cs="仿宋_GB2312"/>
                <w:spacing w:val="10"/>
                <w:sz w:val="24"/>
              </w:rPr>
              <w:t>要求提供违约承诺</w:t>
            </w:r>
            <w:r>
              <w:rPr>
                <w:rFonts w:hint="eastAsia" w:ascii="仿宋_GB2312" w:hAnsi="Times New Roman" w:eastAsia="仿宋_GB2312" w:cs="仿宋_GB2312"/>
                <w:bCs/>
                <w:spacing w:val="10"/>
                <w:sz w:val="24"/>
              </w:rPr>
              <w:t>（格式自定）</w:t>
            </w:r>
            <w:r>
              <w:rPr>
                <w:rFonts w:hint="eastAsia" w:ascii="仿宋_GB2312" w:hAnsi="Times New Roman" w:eastAsia="仿宋_GB2312" w:cs="仿宋_GB2312"/>
                <w:spacing w:val="10"/>
                <w:sz w:val="24"/>
              </w:rPr>
              <w:t>作为得分依据，按要求提供得满分，未提供承诺或承诺内容不满足要求不得分。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3</w:t>
            </w:r>
          </w:p>
        </w:tc>
        <w:tc>
          <w:tcPr>
            <w:tcW w:w="3832"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综合实力部分</w:t>
            </w:r>
          </w:p>
        </w:tc>
        <w:tc>
          <w:tcPr>
            <w:tcW w:w="466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序号</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评分因素</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评分方式</w:t>
            </w:r>
          </w:p>
        </w:tc>
        <w:tc>
          <w:tcPr>
            <w:tcW w:w="466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拟安排的项目负责人情况（仅限一人）</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专家打分</w:t>
            </w:r>
          </w:p>
        </w:tc>
        <w:tc>
          <w:tcPr>
            <w:tcW w:w="4668" w:type="dxa"/>
            <w:tcBorders>
              <w:top w:val="single" w:color="auto" w:sz="4" w:space="0"/>
              <w:left w:val="nil"/>
              <w:bottom w:val="single" w:color="auto" w:sz="4" w:space="0"/>
              <w:right w:val="single" w:color="auto" w:sz="4" w:space="0"/>
            </w:tcBorders>
            <w:vAlign w:val="center"/>
          </w:tcPr>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b/>
                <w:spacing w:val="10"/>
                <w:sz w:val="24"/>
              </w:rPr>
              <w:t>评分内容：</w:t>
            </w:r>
            <w:r>
              <w:rPr>
                <w:rFonts w:hint="eastAsia" w:ascii="仿宋_GB2312" w:hAnsi="Times New Roman" w:eastAsia="仿宋_GB2312" w:cs="仿宋_GB2312"/>
                <w:spacing w:val="10"/>
                <w:sz w:val="24"/>
              </w:rPr>
              <w:t>（1）投标人项目负责人具有全日制本科学历及以上的得5分。</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（2）项目负责人担任过同类展会服务管理经验得5分；</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b/>
                <w:spacing w:val="10"/>
                <w:sz w:val="24"/>
              </w:rPr>
              <w:t>评分依据</w:t>
            </w:r>
            <w:r>
              <w:rPr>
                <w:rFonts w:hint="eastAsia" w:ascii="仿宋_GB2312" w:hAnsi="Times New Roman" w:eastAsia="仿宋_GB2312" w:cs="仿宋_GB2312"/>
                <w:spacing w:val="10"/>
                <w:sz w:val="24"/>
              </w:rPr>
              <w:t>：</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要求投标人须出具投标截止日前三个月（2021年4月-6月）的社保购买证明、学历、学位证书及学信网查询记录（如学信网无法查询的需提供毕业院校或人社部门等办法机构或监督机构等单位出具的证明）、执行经验等相关证明资料作为得分依据。</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2.以上资料均要求提供扫描件或复印件（或官方网站截图）加盖投标人公章，原件备查。评分中出现无证明资料或专家无法凭所提供资料判断是否得分的情况，一律作不得分处理。</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3.如涉及考察人员工作经验，要求提供项目合同关键信息作为得分依据，通过合同关键信息无法判断是否得分的，还须同时提供合同甲方出具的证明文件。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nil"/>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拟安排的项目团队成员情况</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专家打分</w:t>
            </w:r>
          </w:p>
        </w:tc>
        <w:tc>
          <w:tcPr>
            <w:tcW w:w="4668" w:type="dxa"/>
            <w:tcBorders>
              <w:top w:val="single" w:color="auto" w:sz="4" w:space="0"/>
              <w:left w:val="nil"/>
              <w:bottom w:val="single" w:color="auto" w:sz="4" w:space="0"/>
              <w:right w:val="single" w:color="auto" w:sz="4" w:space="0"/>
            </w:tcBorders>
            <w:vAlign w:val="center"/>
          </w:tcPr>
          <w:p>
            <w:pPr>
              <w:snapToGrid w:val="0"/>
              <w:jc w:val="left"/>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评分内容：</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1.团队成员总人数6人及以上得6分，未达到人数要求的，不得分。</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2.团队人数达到6人及以上的考察以下内容（4分）</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（1）投标人团队成员50%以上具有本科及以上学历，得2分，</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（2）项目团队至少4人具备同类展会服务相关经验得2分</w:t>
            </w:r>
          </w:p>
          <w:p>
            <w:pPr>
              <w:snapToGrid w:val="0"/>
              <w:jc w:val="left"/>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评分依据：</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要求投标人须出具投标截止日前三个月（2021年4月-6月）的社保购买证明、学历、学位证书及学信网查询记录（如学信网无法查询的需提供毕业院校或人社部门等办法机构或监督机构等单位出具的证明）、执行经验等相关证明资料作为得分依据。</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2.以上资料均要求提供扫描件或复印件（或官方网站截图）加盖投标人公章，原件备查。评分中出现无证明资料或专家无法凭所提供资料判断是否得分的情况，一律作不得分处理。</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3.如涉及考察人员工作经验，要求提供项目合同关键信息作为得分依据，通过合同关键信息无法判断是否得分的，还须同时提供合同甲方出具的证明文件。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3</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同类服务经验</w:t>
            </w:r>
          </w:p>
          <w:p>
            <w:pPr>
              <w:snapToGrid w:val="0"/>
              <w:jc w:val="center"/>
              <w:rPr>
                <w:rFonts w:ascii="仿宋_GB2312" w:hAnsi="Times New Roman" w:eastAsia="仿宋_GB2312" w:cs="仿宋_GB2312"/>
                <w:spacing w:val="10"/>
                <w:sz w:val="24"/>
              </w:rPr>
            </w:pP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6</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专家打分</w:t>
            </w:r>
          </w:p>
        </w:tc>
        <w:tc>
          <w:tcPr>
            <w:tcW w:w="4668" w:type="dxa"/>
            <w:tcBorders>
              <w:top w:val="single" w:color="auto" w:sz="4" w:space="0"/>
              <w:left w:val="nil"/>
              <w:bottom w:val="single" w:color="auto" w:sz="4" w:space="0"/>
              <w:right w:val="single" w:color="auto" w:sz="4" w:space="0"/>
            </w:tcBorders>
          </w:tcPr>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b/>
                <w:spacing w:val="10"/>
                <w:sz w:val="24"/>
              </w:rPr>
              <w:t>评分内容：</w:t>
            </w:r>
            <w:r>
              <w:rPr>
                <w:rFonts w:hint="eastAsia" w:ascii="仿宋_GB2312" w:hAnsi="Times New Roman" w:eastAsia="仿宋_GB2312" w:cs="仿宋_GB2312"/>
                <w:spacing w:val="10"/>
                <w:sz w:val="24"/>
              </w:rPr>
              <w:t>投标人近三年（自2018年起至今）具有相关展会服务项目经验的，每项得3分，最高不超过6分；无相关服务经验的不得分。</w:t>
            </w:r>
          </w:p>
          <w:p>
            <w:pPr>
              <w:snapToGrid w:val="0"/>
              <w:jc w:val="left"/>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评分依据：</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1.要求同时提供合同关键信息和项目履约（验收）合格评价证明文件作为得分依据，项目履约（验收）合格评价证明文件需加盖合同甲方公章（或甲方业务章）。</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2.通过合同关键信息无法判断是否得分的，还须同时提供能证明得分的其它证明资料，如项目报告或合同甲方出具的证明文件等。</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3.以上资料均要求提供扫描件或复印件，加盖投标人公章，原件备查。评分中出现无证明资料或专家无法凭所提供资料判断是否得分的情况，一律作不得分处理。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4</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投标人获奖情况</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6</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专家打分</w:t>
            </w:r>
          </w:p>
        </w:tc>
        <w:tc>
          <w:tcPr>
            <w:tcW w:w="4668" w:type="dxa"/>
            <w:tcBorders>
              <w:top w:val="single" w:color="auto" w:sz="4" w:space="0"/>
              <w:left w:val="nil"/>
              <w:bottom w:val="single" w:color="auto" w:sz="4" w:space="0"/>
              <w:right w:val="single" w:color="auto" w:sz="4" w:space="0"/>
            </w:tcBorders>
          </w:tcPr>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b/>
                <w:spacing w:val="10"/>
                <w:sz w:val="24"/>
              </w:rPr>
              <w:t>评分内容：</w:t>
            </w:r>
            <w:r>
              <w:rPr>
                <w:rFonts w:hint="eastAsia" w:ascii="仿宋_GB2312" w:hAnsi="Times New Roman" w:eastAsia="仿宋_GB2312" w:cs="仿宋_GB2312"/>
                <w:spacing w:val="10"/>
                <w:sz w:val="24"/>
              </w:rPr>
              <w:t>投标人近三年（自2018年起</w:t>
            </w:r>
            <w:r>
              <w:rPr>
                <w:rFonts w:ascii="仿宋_GB2312" w:hAnsi="Times New Roman" w:eastAsia="仿宋_GB2312" w:cs="仿宋_GB2312"/>
                <w:spacing w:val="10"/>
                <w:sz w:val="24"/>
              </w:rPr>
              <w:t>至投标截止时间</w:t>
            </w:r>
            <w:r>
              <w:rPr>
                <w:rFonts w:hint="eastAsia" w:ascii="仿宋_GB2312" w:hAnsi="Times New Roman" w:eastAsia="仿宋_GB2312" w:cs="仿宋_GB2312"/>
                <w:spacing w:val="10"/>
                <w:sz w:val="24"/>
              </w:rPr>
              <w:t>）在相关展会领域的获奖情况，每项得3分，最高不超过6分；无相关获奖情况的不得分。</w:t>
            </w:r>
          </w:p>
          <w:p>
            <w:pPr>
              <w:rPr>
                <w:rFonts w:ascii="仿宋_GB2312" w:hAnsi="Times New Roman" w:eastAsia="仿宋_GB2312" w:cs="仿宋_GB2312"/>
                <w:b/>
                <w:spacing w:val="10"/>
                <w:sz w:val="24"/>
              </w:rPr>
            </w:pPr>
            <w:r>
              <w:rPr>
                <w:rFonts w:hint="eastAsia" w:ascii="仿宋_GB2312" w:hAnsi="Times New Roman" w:eastAsia="仿宋_GB2312" w:cs="仿宋_GB2312"/>
                <w:b/>
                <w:spacing w:val="10"/>
                <w:sz w:val="24"/>
              </w:rPr>
              <w:t>评分依据：</w:t>
            </w:r>
          </w:p>
          <w:p>
            <w:pP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1.要求同时提供奖项照片或获奖证书等证明文件作为得分依据。</w:t>
            </w:r>
          </w:p>
          <w:p>
            <w:pP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2.以上资料均要求提供扫描件（或官方网站截图），原件备查。评分中出现无证明资料或专家无法凭所提供资料判断是否得分的情况，一律作不得分处理。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5</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服务网点</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4</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专家打分</w:t>
            </w:r>
          </w:p>
        </w:tc>
        <w:tc>
          <w:tcPr>
            <w:tcW w:w="4668" w:type="dxa"/>
            <w:tcBorders>
              <w:top w:val="single" w:color="auto" w:sz="4" w:space="0"/>
              <w:left w:val="nil"/>
              <w:bottom w:val="single" w:color="auto" w:sz="4" w:space="0"/>
              <w:right w:val="single" w:color="auto" w:sz="4" w:space="0"/>
            </w:tcBorders>
          </w:tcPr>
          <w:p>
            <w:pPr>
              <w:rPr>
                <w:rFonts w:ascii="仿宋_GB2312" w:hAnsi="Times New Roman" w:eastAsia="仿宋_GB2312"/>
                <w:spacing w:val="10"/>
                <w:sz w:val="24"/>
                <w:szCs w:val="22"/>
              </w:rPr>
            </w:pPr>
            <w:r>
              <w:rPr>
                <w:rFonts w:hint="eastAsia" w:ascii="仿宋_GB2312" w:hAnsi="Times New Roman" w:eastAsia="仿宋_GB2312"/>
                <w:spacing w:val="10"/>
                <w:sz w:val="24"/>
                <w:szCs w:val="22"/>
              </w:rPr>
              <w:t>1.深圳供应商，或非深圳供应商但在深圳有合法注册的分公司（或售后机构）（分公司的必须提供分公司营业执照扫描件，售后机构必须同时提供售后服务合作合同及售后机构营业执照扫描件或复印件，加盖投标人公章作为得分依据，原件备查）的，得4分；否则不得分。</w:t>
            </w:r>
          </w:p>
          <w:p>
            <w:pPr>
              <w:snapToGrid w:val="0"/>
              <w:jc w:val="left"/>
              <w:rPr>
                <w:rFonts w:ascii="仿宋_GB2312" w:hAnsi="Times New Roman" w:eastAsia="仿宋_GB2312" w:cs="仿宋_GB2312"/>
                <w:spacing w:val="10"/>
                <w:sz w:val="24"/>
              </w:rPr>
            </w:pPr>
            <w:r>
              <w:rPr>
                <w:rFonts w:hint="eastAsia" w:ascii="仿宋_GB2312" w:hAnsi="Times New Roman" w:eastAsia="仿宋_GB2312"/>
                <w:spacing w:val="10"/>
                <w:sz w:val="24"/>
                <w:szCs w:val="22"/>
              </w:rPr>
              <w:t>2.外地供应商承诺：中标后设立本地经营（服务）网点的，提供承诺文件（格式自定）扫描件或复印件，加盖投标人公章的，得2分；未提供承诺或承诺内容不满足要求均不得分。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p>
        </w:tc>
        <w:tc>
          <w:tcPr>
            <w:tcW w:w="951"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6</w:t>
            </w:r>
          </w:p>
        </w:tc>
        <w:tc>
          <w:tcPr>
            <w:tcW w:w="1106"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诚信评价</w:t>
            </w:r>
          </w:p>
        </w:tc>
        <w:tc>
          <w:tcPr>
            <w:tcW w:w="808"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4</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hAnsi="Times New Roman" w:eastAsia="仿宋_GB2312" w:cs="仿宋_GB2312"/>
                <w:spacing w:val="10"/>
                <w:sz w:val="24"/>
              </w:rPr>
            </w:pPr>
            <w:r>
              <w:rPr>
                <w:rFonts w:hint="eastAsia" w:ascii="仿宋_GB2312" w:hAnsi="Times New Roman" w:eastAsia="仿宋_GB2312" w:cs="仿宋_GB2312"/>
                <w:spacing w:val="10"/>
                <w:sz w:val="24"/>
              </w:rPr>
              <w:t>专家打分</w:t>
            </w:r>
          </w:p>
        </w:tc>
        <w:tc>
          <w:tcPr>
            <w:tcW w:w="4668" w:type="dxa"/>
            <w:tcBorders>
              <w:top w:val="single" w:color="auto" w:sz="4" w:space="0"/>
              <w:left w:val="nil"/>
              <w:bottom w:val="single" w:color="auto" w:sz="4" w:space="0"/>
              <w:right w:val="single" w:color="auto" w:sz="4" w:space="0"/>
            </w:tcBorders>
          </w:tcPr>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ascii="仿宋_GB2312" w:hAnsi="Times New Roman" w:eastAsia="仿宋_GB2312" w:cs="仿宋_GB2312"/>
                <w:spacing w:val="10"/>
                <w:sz w:val="24"/>
              </w:rPr>
            </w:pPr>
            <w:r>
              <w:rPr>
                <w:rFonts w:hint="eastAsia" w:ascii="仿宋_GB2312" w:hAnsi="Times New Roman" w:eastAsia="仿宋_GB2312" w:cs="仿宋_GB2312"/>
                <w:spacing w:val="10"/>
                <w:sz w:val="24"/>
              </w:rPr>
              <w:t>证明材料：需提供诚信承诺函，格式自拟，加盖投标人公章扫描件或复印件，原件备查。</w:t>
            </w:r>
          </w:p>
        </w:tc>
      </w:tr>
    </w:tbl>
    <w:p>
      <w:pPr>
        <w:snapToGrid w:val="0"/>
        <w:spacing w:line="360" w:lineRule="auto"/>
        <w:rPr>
          <w:rFonts w:ascii="Times New Roman" w:hAnsi="Times New Roman" w:eastAsia="仿宋_GB2312"/>
          <w:spacing w:val="10"/>
          <w:sz w:val="32"/>
          <w:szCs w:val="22"/>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宋体" w:hAnsi="宋体"/>
        <w:sz w:val="28"/>
      </w:rPr>
    </w:pPr>
    <w:r>
      <w:rPr>
        <w:rFonts w:ascii="Times New Roman" w:hAnsi="Times New Roman"/>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a:effectLst/>
                    </wps:spPr>
                    <wps:txbx>
                      <w:txbxContent>
                        <w:p>
                          <w:pPr>
                            <w:pStyle w:val="4"/>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eVEvMtEAAAAEAQAADwAA&#10;AAAAAAABACAAAAA4AAAAZHJzL2Rvd25yZXYueG1sUEsBAhQAFAAAAAgAh07iQO+MK7fOAQAAmwMA&#10;AA4AAAAAAAAAAQAgAAAANgEAAGRycy9lMm9Eb2MueG1sUEsFBgAAAAAGAAYAWQEAAHYFA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BD"/>
    <w:rsid w:val="001167C7"/>
    <w:rsid w:val="001F2BBD"/>
    <w:rsid w:val="00787F9F"/>
    <w:rsid w:val="00A649E9"/>
    <w:rsid w:val="00B75520"/>
    <w:rsid w:val="00E72AFA"/>
    <w:rsid w:val="5F589C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3"/>
    <w:semiHidden/>
    <w:unhideWhenUsed/>
    <w:qFormat/>
    <w:uiPriority w:val="99"/>
    <w:pPr>
      <w:ind w:firstLine="420" w:firstLineChars="200"/>
    </w:pPr>
  </w:style>
  <w:style w:type="paragraph" w:styleId="3">
    <w:name w:val="Body Text Indent"/>
    <w:basedOn w:val="1"/>
    <w:link w:val="12"/>
    <w:semiHidden/>
    <w:unhideWhenUsed/>
    <w:qFormat/>
    <w:uiPriority w:val="99"/>
    <w:pPr>
      <w:spacing w:after="120"/>
      <w:ind w:left="420" w:leftChars="200"/>
    </w:pPr>
  </w:style>
  <w:style w:type="paragraph" w:styleId="4">
    <w:name w:val="footer"/>
    <w:link w:val="8"/>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5">
    <w:name w:val="header"/>
    <w:link w:val="9"/>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 w:type="character" w:customStyle="1" w:styleId="8">
    <w:name w:val="页脚 Char"/>
    <w:basedOn w:val="7"/>
    <w:link w:val="4"/>
    <w:qFormat/>
    <w:uiPriority w:val="99"/>
    <w:rPr>
      <w:sz w:val="18"/>
      <w:szCs w:val="18"/>
    </w:rPr>
  </w:style>
  <w:style w:type="character" w:customStyle="1" w:styleId="9">
    <w:name w:val="页眉 Char"/>
    <w:basedOn w:val="7"/>
    <w:link w:val="5"/>
    <w:qFormat/>
    <w:uiPriority w:val="99"/>
    <w:rPr>
      <w:sz w:val="18"/>
      <w:szCs w:val="18"/>
    </w:rPr>
  </w:style>
  <w:style w:type="character" w:customStyle="1" w:styleId="10">
    <w:name w:val="页脚 Char1"/>
    <w:basedOn w:val="7"/>
    <w:semiHidden/>
    <w:qFormat/>
    <w:uiPriority w:val="99"/>
    <w:rPr>
      <w:rFonts w:ascii="Calibri" w:hAnsi="Calibri" w:eastAsia="宋体" w:cs="Times New Roman"/>
      <w:sz w:val="18"/>
      <w:szCs w:val="18"/>
    </w:rPr>
  </w:style>
  <w:style w:type="character" w:customStyle="1" w:styleId="11">
    <w:name w:val="页眉 Char1"/>
    <w:basedOn w:val="7"/>
    <w:semiHidden/>
    <w:qFormat/>
    <w:uiPriority w:val="99"/>
    <w:rPr>
      <w:rFonts w:ascii="Calibri" w:hAnsi="Calibri" w:eastAsia="宋体" w:cs="Times New Roman"/>
      <w:sz w:val="18"/>
      <w:szCs w:val="18"/>
    </w:rPr>
  </w:style>
  <w:style w:type="character" w:customStyle="1" w:styleId="12">
    <w:name w:val="正文文本缩进 Char"/>
    <w:basedOn w:val="7"/>
    <w:link w:val="3"/>
    <w:semiHidden/>
    <w:qFormat/>
    <w:uiPriority w:val="99"/>
    <w:rPr>
      <w:rFonts w:ascii="Calibri" w:hAnsi="Calibri" w:eastAsia="宋体" w:cs="Times New Roman"/>
      <w:szCs w:val="24"/>
    </w:rPr>
  </w:style>
  <w:style w:type="character" w:customStyle="1" w:styleId="13">
    <w:name w:val="正文首行缩进 2 Char"/>
    <w:basedOn w:val="12"/>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423</Words>
  <Characters>2413</Characters>
  <Lines>20</Lines>
  <Paragraphs>5</Paragraphs>
  <TotalTime>0</TotalTime>
  <ScaleCrop>false</ScaleCrop>
  <LinksUpToDate>false</LinksUpToDate>
  <CharactersWithSpaces>2831</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2021-07-22T16:49:00Z</dcterms:created>
  <dc:creator>罗梦岚</dc:creator>
  <cp:lastModifiedBy>郑锦婷</cp:lastModifiedBy>
  <dcterms:modified xsi:type="dcterms:W3CDTF">2023-11-27T18:03:37Z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