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leftChars="0" w:firstLine="0" w:firstLineChars="0"/>
        <w:rPr>
          <w:rFonts w:hint="eastAsia"/>
          <w:lang w:eastAsia="zh-CN"/>
        </w:rPr>
      </w:pPr>
      <w:bookmarkStart w:id="0" w:name="_GoBack"/>
      <w:bookmarkEnd w:id="0"/>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2</w:t>
      </w:r>
    </w:p>
    <w:p>
      <w:pPr>
        <w:numPr>
          <w:ilvl w:val="0"/>
          <w:numId w:val="0"/>
        </w:numPr>
        <w:ind w:left="0" w:leftChars="0" w:firstLine="0" w:firstLineChars="0"/>
        <w:jc w:val="center"/>
        <w:rPr>
          <w:rFonts w:hint="eastAsia" w:ascii="黑体" w:hAnsi="黑体" w:eastAsia="黑体" w:cs="黑体"/>
          <w:b w:val="0"/>
          <w:bCs/>
          <w:color w:val="auto"/>
          <w:sz w:val="44"/>
          <w:szCs w:val="44"/>
        </w:rPr>
      </w:pPr>
      <w:r>
        <w:rPr>
          <w:rFonts w:hint="eastAsia" w:ascii="黑体" w:hAnsi="黑体" w:eastAsia="黑体" w:cs="黑体"/>
          <w:b w:val="0"/>
          <w:bCs/>
          <w:color w:val="auto"/>
          <w:sz w:val="44"/>
          <w:szCs w:val="44"/>
          <w:lang w:eastAsia="zh-CN"/>
        </w:rPr>
        <w:t>评分标准</w:t>
      </w:r>
    </w:p>
    <w:p>
      <w:pPr>
        <w:numPr>
          <w:ilvl w:val="0"/>
          <w:numId w:val="0"/>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价格分计算方法：</w:t>
      </w:r>
    </w:p>
    <w:p>
      <w:pPr>
        <w:pStyle w:val="11"/>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采用低价优先法计算，即满足招标文件要求且投标价格最低的投标报价为评标基准价，其价格分为满分。其他投标人的价格分统一按照下列公式计算： </w:t>
      </w:r>
    </w:p>
    <w:p>
      <w:pPr>
        <w:pStyle w:val="11"/>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投标报价得分=(评标基准价／投标报价)×100 </w:t>
      </w:r>
    </w:p>
    <w:p>
      <w:pPr>
        <w:pStyle w:val="11"/>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评标总得分＝F1×A1＋F2×A2＋……＋Fn×An </w:t>
      </w:r>
    </w:p>
    <w:p>
      <w:pPr>
        <w:pStyle w:val="11"/>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F1、F2……Fn分别为各项评审因素的得分； </w:t>
      </w:r>
    </w:p>
    <w:p>
      <w:pPr>
        <w:pStyle w:val="11"/>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A1、A2、……An 分别为各项评审因素所占的权重(A1＋A2＋……＋An＝1)。</w:t>
      </w:r>
    </w:p>
    <w:p>
      <w:pPr>
        <w:pStyle w:val="11"/>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color w:val="auto"/>
          <w:sz w:val="32"/>
          <w:szCs w:val="32"/>
        </w:rPr>
        <w:t>评标过程中，不得去掉报价中的最高报价和最低报价。</w:t>
      </w:r>
    </w:p>
    <w:tbl>
      <w:tblPr>
        <w:tblStyle w:val="12"/>
        <w:tblW w:w="4998" w:type="pct"/>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851"/>
        <w:gridCol w:w="1208"/>
        <w:gridCol w:w="605"/>
        <w:gridCol w:w="729"/>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CellSpacing w:w="0" w:type="dxa"/>
          <w:jc w:val="center"/>
        </w:trPr>
        <w:tc>
          <w:tcPr>
            <w:tcW w:w="421" w:type="pct"/>
            <w:vAlign w:val="center"/>
          </w:tcPr>
          <w:p>
            <w:pPr>
              <w:widowControl w:val="0"/>
              <w:snapToGrid w:val="0"/>
              <w:spacing w:line="360" w:lineRule="auto"/>
              <w:jc w:val="center"/>
              <w:rPr>
                <w:rFonts w:hint="eastAsia" w:ascii="方正仿宋_GBK" w:hAnsi="方正仿宋_GBK" w:eastAsia="方正仿宋_GBK" w:cs="方正仿宋_GBK"/>
                <w:b/>
                <w:bCs/>
                <w:kern w:val="44"/>
                <w:sz w:val="30"/>
                <w:szCs w:val="30"/>
              </w:rPr>
            </w:pPr>
            <w:r>
              <w:rPr>
                <w:rFonts w:hint="eastAsia" w:ascii="方正仿宋_GBK" w:hAnsi="方正仿宋_GBK" w:eastAsia="方正仿宋_GBK" w:cs="方正仿宋_GBK"/>
                <w:b/>
                <w:bCs/>
                <w:kern w:val="44"/>
                <w:sz w:val="30"/>
                <w:szCs w:val="30"/>
              </w:rPr>
              <w:t>序号</w:t>
            </w:r>
          </w:p>
        </w:tc>
        <w:tc>
          <w:tcPr>
            <w:tcW w:w="1986" w:type="pct"/>
            <w:gridSpan w:val="4"/>
            <w:vAlign w:val="center"/>
          </w:tcPr>
          <w:p>
            <w:pPr>
              <w:widowControl w:val="0"/>
              <w:snapToGrid w:val="0"/>
              <w:spacing w:line="360" w:lineRule="auto"/>
              <w:jc w:val="center"/>
              <w:rPr>
                <w:rFonts w:hint="eastAsia" w:ascii="方正仿宋_GBK" w:hAnsi="方正仿宋_GBK" w:eastAsia="方正仿宋_GBK" w:cs="方正仿宋_GBK"/>
                <w:b/>
                <w:bCs/>
                <w:kern w:val="44"/>
                <w:sz w:val="30"/>
                <w:szCs w:val="30"/>
              </w:rPr>
            </w:pPr>
            <w:r>
              <w:rPr>
                <w:rFonts w:hint="eastAsia" w:ascii="方正仿宋_GBK" w:hAnsi="方正仿宋_GBK" w:eastAsia="方正仿宋_GBK" w:cs="方正仿宋_GBK"/>
                <w:b/>
                <w:bCs/>
                <w:kern w:val="44"/>
                <w:sz w:val="30"/>
                <w:szCs w:val="30"/>
              </w:rPr>
              <w:t>评分项</w:t>
            </w:r>
          </w:p>
        </w:tc>
        <w:tc>
          <w:tcPr>
            <w:tcW w:w="2591" w:type="pct"/>
            <w:vAlign w:val="center"/>
          </w:tcPr>
          <w:p>
            <w:pPr>
              <w:widowControl w:val="0"/>
              <w:snapToGrid w:val="0"/>
              <w:spacing w:line="360" w:lineRule="auto"/>
              <w:jc w:val="center"/>
              <w:rPr>
                <w:rFonts w:hint="eastAsia" w:ascii="方正仿宋_GBK" w:hAnsi="方正仿宋_GBK" w:eastAsia="方正仿宋_GBK" w:cs="方正仿宋_GBK"/>
                <w:b/>
                <w:bCs/>
                <w:kern w:val="44"/>
                <w:sz w:val="30"/>
                <w:szCs w:val="30"/>
              </w:rPr>
            </w:pPr>
            <w:r>
              <w:rPr>
                <w:rFonts w:hint="eastAsia" w:ascii="方正仿宋_GBK" w:hAnsi="方正仿宋_GBK" w:eastAsia="方正仿宋_GBK" w:cs="方正仿宋_GBK"/>
                <w:b/>
                <w:bCs/>
                <w:kern w:val="44"/>
                <w:sz w:val="30"/>
                <w:szCs w:val="30"/>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0" w:type="dxa"/>
          <w:jc w:val="center"/>
        </w:trPr>
        <w:tc>
          <w:tcPr>
            <w:tcW w:w="421" w:type="pct"/>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一</w:t>
            </w:r>
          </w:p>
        </w:tc>
        <w:tc>
          <w:tcPr>
            <w:tcW w:w="1986" w:type="pct"/>
            <w:gridSpan w:val="4"/>
            <w:vAlign w:val="center"/>
          </w:tcPr>
          <w:p>
            <w:pPr>
              <w:widowControl/>
              <w:jc w:val="center"/>
              <w:textAlignment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color w:val="auto"/>
                <w:kern w:val="0"/>
                <w:sz w:val="30"/>
                <w:szCs w:val="30"/>
                <w:lang w:bidi="ar"/>
              </w:rPr>
              <w:t>价格部分</w:t>
            </w:r>
          </w:p>
        </w:tc>
        <w:tc>
          <w:tcPr>
            <w:tcW w:w="2591" w:type="pct"/>
            <w:vAlign w:val="center"/>
          </w:tcPr>
          <w:p>
            <w:pPr>
              <w:widowControl/>
              <w:jc w:val="center"/>
              <w:textAlignment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color w:val="auto"/>
                <w:kern w:val="0"/>
                <w:sz w:val="30"/>
                <w:szCs w:val="30"/>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blCellSpacing w:w="0" w:type="dxa"/>
          <w:jc w:val="center"/>
        </w:trPr>
        <w:tc>
          <w:tcPr>
            <w:tcW w:w="421" w:type="pct"/>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二</w:t>
            </w:r>
          </w:p>
        </w:tc>
        <w:tc>
          <w:tcPr>
            <w:tcW w:w="1986" w:type="pct"/>
            <w:gridSpan w:val="4"/>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技术部分</w:t>
            </w:r>
          </w:p>
        </w:tc>
        <w:tc>
          <w:tcPr>
            <w:tcW w:w="2591" w:type="pct"/>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CellSpacing w:w="0" w:type="dxa"/>
          <w:jc w:val="center"/>
        </w:trPr>
        <w:tc>
          <w:tcPr>
            <w:tcW w:w="421" w:type="pct"/>
            <w:vMerge w:val="restart"/>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p>
        </w:tc>
        <w:tc>
          <w:tcPr>
            <w:tcW w:w="498" w:type="pct"/>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序号</w:t>
            </w:r>
          </w:p>
        </w:tc>
        <w:tc>
          <w:tcPr>
            <w:tcW w:w="707" w:type="pct"/>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评分因素</w:t>
            </w:r>
          </w:p>
        </w:tc>
        <w:tc>
          <w:tcPr>
            <w:tcW w:w="354" w:type="pct"/>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权重</w:t>
            </w:r>
          </w:p>
        </w:tc>
        <w:tc>
          <w:tcPr>
            <w:tcW w:w="426" w:type="pct"/>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评分方式</w:t>
            </w:r>
          </w:p>
        </w:tc>
        <w:tc>
          <w:tcPr>
            <w:tcW w:w="2591" w:type="pct"/>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CellSpacing w:w="0" w:type="dxa"/>
          <w:jc w:val="center"/>
        </w:trPr>
        <w:tc>
          <w:tcPr>
            <w:tcW w:w="421" w:type="pct"/>
            <w:vMerge w:val="continue"/>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p>
        </w:tc>
        <w:tc>
          <w:tcPr>
            <w:tcW w:w="498"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w:t>
            </w:r>
          </w:p>
        </w:tc>
        <w:tc>
          <w:tcPr>
            <w:tcW w:w="707"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技术响应情况</w:t>
            </w:r>
          </w:p>
        </w:tc>
        <w:tc>
          <w:tcPr>
            <w:tcW w:w="354"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40</w:t>
            </w:r>
          </w:p>
        </w:tc>
        <w:tc>
          <w:tcPr>
            <w:tcW w:w="426" w:type="pct"/>
            <w:vAlign w:val="center"/>
          </w:tcPr>
          <w:p>
            <w:pPr>
              <w:widowControl w:val="0"/>
              <w:snapToGrid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专家打分</w:t>
            </w:r>
          </w:p>
        </w:tc>
        <w:tc>
          <w:tcPr>
            <w:tcW w:w="2591" w:type="pct"/>
            <w:vAlign w:val="center"/>
          </w:tcPr>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投标人应如实填写《技术要求偏离表》，并按招标文件的要求提供相关证明资料，评审委员会根据技术需求参数响应情况进行打分，各项技术参数指标及要求全部满足的得100%分，</w:t>
            </w:r>
            <w:r>
              <w:rPr>
                <w:rFonts w:hint="eastAsia" w:ascii="方正仿宋_GBK" w:hAnsi="方正仿宋_GBK" w:eastAsia="方正仿宋_GBK" w:cs="方正仿宋_GBK"/>
                <w:b w:val="0"/>
                <w:bCs w:val="0"/>
                <w:kern w:val="2"/>
                <w:sz w:val="30"/>
                <w:szCs w:val="30"/>
                <w:lang w:eastAsia="zh-CN"/>
              </w:rPr>
              <w:t>参数</w:t>
            </w:r>
            <w:r>
              <w:rPr>
                <w:rFonts w:hint="eastAsia" w:ascii="方正仿宋_GBK" w:hAnsi="方正仿宋_GBK" w:eastAsia="方正仿宋_GBK" w:cs="方正仿宋_GBK"/>
                <w:b w:val="0"/>
                <w:bCs w:val="0"/>
                <w:kern w:val="2"/>
                <w:sz w:val="30"/>
                <w:szCs w:val="30"/>
              </w:rPr>
              <w:t>每负偏离一项扣2%分，扣完为止。</w:t>
            </w:r>
          </w:p>
          <w:p>
            <w:pPr>
              <w:widowControl w:val="0"/>
              <w:spacing w:line="360" w:lineRule="auto"/>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说明：以投标文件《技术要求偏离表》为评分依据，投标供应商按招标文件要求提供相应的证明材料扫描件（如有），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证明材料与偏离表内容不一致的，按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CellSpacing w:w="0" w:type="dxa"/>
          <w:jc w:val="center"/>
        </w:trPr>
        <w:tc>
          <w:tcPr>
            <w:tcW w:w="421" w:type="pct"/>
            <w:vMerge w:val="continue"/>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p>
        </w:tc>
        <w:tc>
          <w:tcPr>
            <w:tcW w:w="498"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2</w:t>
            </w:r>
          </w:p>
        </w:tc>
        <w:tc>
          <w:tcPr>
            <w:tcW w:w="707"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项目实施方案</w:t>
            </w:r>
          </w:p>
        </w:tc>
        <w:tc>
          <w:tcPr>
            <w:tcW w:w="354"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6</w:t>
            </w:r>
          </w:p>
        </w:tc>
        <w:tc>
          <w:tcPr>
            <w:tcW w:w="426" w:type="pct"/>
            <w:vAlign w:val="center"/>
          </w:tcPr>
          <w:p>
            <w:pPr>
              <w:widowControl w:val="0"/>
              <w:snapToGrid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专家打分</w:t>
            </w:r>
          </w:p>
        </w:tc>
        <w:tc>
          <w:tcPr>
            <w:tcW w:w="2591" w:type="pct"/>
            <w:vAlign w:val="center"/>
          </w:tcPr>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（一）评分内容：</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投标人提供的技术保障措施须包含以下内容：</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1.项目实施团队；</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2.安装（施工）方案及进度安排；</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3.质量控制措施；</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4.用于本项目的安全保障措施。</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（二）评分依据：</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1.每提供一项得20%分，全部提供得80%分。</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2.在此基础上，由评审委员会进行评价：</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（1）方案整体科学合理、针对性强、可操作性强，评审为优的，加20%分；</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 xml:space="preserve">（2）方案较合理、有一定针对性、一定可操作性，评审为良的，加 15%分； </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 xml:space="preserve">（3）方案不尽合理、针对性一般、可操作性一般，评审为中的，加 10%分； </w:t>
            </w:r>
          </w:p>
          <w:p>
            <w:pPr>
              <w:widowControl w:val="0"/>
              <w:autoSpaceDE w:val="0"/>
              <w:autoSpaceDN w:val="0"/>
              <w:adjustRightInd w:val="0"/>
              <w:spacing w:line="360" w:lineRule="auto"/>
              <w:textAlignment w:val="baseline"/>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kern w:val="2"/>
                <w:sz w:val="30"/>
                <w:szCs w:val="30"/>
              </w:rPr>
              <w:t>（4）方案不合理、无针对性、无可操作性，评审为差的，不加分。</w:t>
            </w:r>
          </w:p>
          <w:p>
            <w:pPr>
              <w:widowControl w:val="0"/>
              <w:spacing w:line="360" w:lineRule="auto"/>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评价为差的，专家须说明情况。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CellSpacing w:w="0" w:type="dxa"/>
          <w:jc w:val="center"/>
        </w:trPr>
        <w:tc>
          <w:tcPr>
            <w:tcW w:w="421" w:type="pct"/>
            <w:vAlign w:val="center"/>
          </w:tcPr>
          <w:p>
            <w:pPr>
              <w:widowControl w:val="0"/>
              <w:snapToGrid w:val="0"/>
              <w:spacing w:line="360" w:lineRule="auto"/>
              <w:jc w:val="center"/>
              <w:rPr>
                <w:rFonts w:hint="eastAsia" w:ascii="方正仿宋_GBK" w:hAnsi="方正仿宋_GBK" w:eastAsia="方正仿宋_GBK" w:cs="方正仿宋_GBK"/>
                <w:b w:val="0"/>
                <w:bCs w:val="0"/>
                <w:kern w:val="44"/>
                <w:sz w:val="30"/>
                <w:szCs w:val="30"/>
              </w:rPr>
            </w:pPr>
          </w:p>
        </w:tc>
        <w:tc>
          <w:tcPr>
            <w:tcW w:w="498"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3</w:t>
            </w:r>
          </w:p>
        </w:tc>
        <w:tc>
          <w:tcPr>
            <w:tcW w:w="707"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sz w:val="30"/>
                <w:szCs w:val="30"/>
              </w:rPr>
              <w:t>售后服务方案</w:t>
            </w:r>
          </w:p>
        </w:tc>
        <w:tc>
          <w:tcPr>
            <w:tcW w:w="354"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9</w:t>
            </w:r>
          </w:p>
        </w:tc>
        <w:tc>
          <w:tcPr>
            <w:tcW w:w="426" w:type="pct"/>
            <w:vAlign w:val="center"/>
          </w:tcPr>
          <w:p>
            <w:pPr>
              <w:widowControl w:val="0"/>
              <w:spacing w:line="360" w:lineRule="auto"/>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专家打分</w:t>
            </w:r>
          </w:p>
        </w:tc>
        <w:tc>
          <w:tcPr>
            <w:tcW w:w="2591" w:type="pct"/>
            <w:vAlign w:val="center"/>
          </w:tcPr>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（一）评分内容：</w:t>
            </w:r>
          </w:p>
          <w:p>
            <w:pPr>
              <w:widowControl w:val="0"/>
              <w:spacing w:line="360" w:lineRule="auto"/>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根据投标人所提供售后服务方案是否充分考虑项目实际需求，售后服务方案应包含：</w:t>
            </w:r>
          </w:p>
          <w:p>
            <w:pPr>
              <w:widowControl w:val="0"/>
              <w:tabs>
                <w:tab w:val="left" w:pos="312"/>
              </w:tabs>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1.售后能力及质保期;</w:t>
            </w:r>
          </w:p>
          <w:p>
            <w:pPr>
              <w:widowControl w:val="0"/>
              <w:tabs>
                <w:tab w:val="left" w:pos="312"/>
              </w:tabs>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2.服务响应及时；</w:t>
            </w:r>
          </w:p>
          <w:p>
            <w:pPr>
              <w:widowControl w:val="0"/>
              <w:tabs>
                <w:tab w:val="left" w:pos="312"/>
              </w:tabs>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3.故障处理措施和故障解决方案;</w:t>
            </w:r>
          </w:p>
          <w:p>
            <w:pPr>
              <w:widowControl w:val="0"/>
              <w:tabs>
                <w:tab w:val="left" w:pos="312"/>
              </w:tabs>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4.应急处理方案。</w:t>
            </w:r>
          </w:p>
          <w:p>
            <w:pPr>
              <w:widowControl w:val="0"/>
              <w:numPr>
                <w:ilvl w:val="0"/>
                <w:numId w:val="1"/>
              </w:numPr>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评分依据：</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1.每提供一项得20%分，全部提供得80%分。</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2.在此基础上，由评审委员会进行评价：</w:t>
            </w:r>
          </w:p>
          <w:p>
            <w:pPr>
              <w:widowControl w:val="0"/>
              <w:spacing w:line="360" w:lineRule="auto"/>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（1）售后服务方案详细可行、服务周到、服务响应时间快、故障处理措施和应急处理方案合理、故障解决时间短、培训方案完整、提供品牌或投标人24小时售后服务热线电话，视为优，加20%；</w:t>
            </w:r>
          </w:p>
          <w:p>
            <w:pPr>
              <w:widowControl w:val="0"/>
              <w:spacing w:line="360" w:lineRule="auto"/>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（2）售后服务方案较具体详细可行、服务比较周到、服务响应时间较快、故障处理措施和应急处理方案较合理、故障解决时间较短、培训方案相对完整，视为良，加15%；</w:t>
            </w:r>
          </w:p>
          <w:p>
            <w:pPr>
              <w:widowControl w:val="0"/>
              <w:spacing w:line="360" w:lineRule="auto"/>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（3）售后服务方案一般、服务响应时间快、故障处理措施和应急处理方案一般、故障解决时间较长、培训方案一般，视为中，加10%；评价为差不加分。评价为差的，专家须说明情况。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CellSpacing w:w="0" w:type="dxa"/>
          <w:jc w:val="center"/>
        </w:trPr>
        <w:tc>
          <w:tcPr>
            <w:tcW w:w="421"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三</w:t>
            </w:r>
          </w:p>
        </w:tc>
        <w:tc>
          <w:tcPr>
            <w:tcW w:w="1986" w:type="pct"/>
            <w:gridSpan w:val="4"/>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综合实力部分</w:t>
            </w:r>
          </w:p>
        </w:tc>
        <w:tc>
          <w:tcPr>
            <w:tcW w:w="2591"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CellSpacing w:w="0" w:type="dxa"/>
          <w:jc w:val="center"/>
        </w:trPr>
        <w:tc>
          <w:tcPr>
            <w:tcW w:w="421" w:type="pct"/>
            <w:vMerge w:val="restart"/>
            <w:vAlign w:val="center"/>
          </w:tcPr>
          <w:p>
            <w:pPr>
              <w:widowControl w:val="0"/>
              <w:spacing w:line="360" w:lineRule="auto"/>
              <w:jc w:val="both"/>
              <w:rPr>
                <w:rFonts w:hint="eastAsia" w:ascii="方正仿宋_GBK" w:hAnsi="方正仿宋_GBK" w:eastAsia="方正仿宋_GBK" w:cs="方正仿宋_GBK"/>
                <w:b w:val="0"/>
                <w:bCs w:val="0"/>
                <w:kern w:val="44"/>
                <w:sz w:val="30"/>
                <w:szCs w:val="30"/>
              </w:rPr>
            </w:pPr>
          </w:p>
        </w:tc>
        <w:tc>
          <w:tcPr>
            <w:tcW w:w="498"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序号</w:t>
            </w:r>
          </w:p>
        </w:tc>
        <w:tc>
          <w:tcPr>
            <w:tcW w:w="707"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评分因素</w:t>
            </w:r>
          </w:p>
        </w:tc>
        <w:tc>
          <w:tcPr>
            <w:tcW w:w="354"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权重</w:t>
            </w:r>
          </w:p>
        </w:tc>
        <w:tc>
          <w:tcPr>
            <w:tcW w:w="426"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评分方式</w:t>
            </w:r>
          </w:p>
        </w:tc>
        <w:tc>
          <w:tcPr>
            <w:tcW w:w="2591"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CellSpacing w:w="0" w:type="dxa"/>
          <w:jc w:val="center"/>
        </w:trPr>
        <w:tc>
          <w:tcPr>
            <w:tcW w:w="421" w:type="pct"/>
            <w:vMerge w:val="continue"/>
            <w:vAlign w:val="center"/>
          </w:tcPr>
          <w:p>
            <w:pPr>
              <w:widowControl w:val="0"/>
              <w:spacing w:line="360" w:lineRule="auto"/>
              <w:jc w:val="both"/>
              <w:rPr>
                <w:rFonts w:hint="eastAsia" w:ascii="方正仿宋_GBK" w:hAnsi="方正仿宋_GBK" w:eastAsia="方正仿宋_GBK" w:cs="方正仿宋_GBK"/>
                <w:b w:val="0"/>
                <w:bCs w:val="0"/>
                <w:kern w:val="44"/>
                <w:sz w:val="30"/>
                <w:szCs w:val="30"/>
              </w:rPr>
            </w:pPr>
          </w:p>
        </w:tc>
        <w:tc>
          <w:tcPr>
            <w:tcW w:w="498"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w:t>
            </w:r>
          </w:p>
        </w:tc>
        <w:tc>
          <w:tcPr>
            <w:tcW w:w="707"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企业实力</w:t>
            </w:r>
          </w:p>
        </w:tc>
        <w:tc>
          <w:tcPr>
            <w:tcW w:w="354"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5</w:t>
            </w:r>
          </w:p>
        </w:tc>
        <w:tc>
          <w:tcPr>
            <w:tcW w:w="426"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专家打分</w:t>
            </w:r>
          </w:p>
        </w:tc>
        <w:tc>
          <w:tcPr>
            <w:tcW w:w="2591" w:type="pct"/>
            <w:vAlign w:val="center"/>
          </w:tcPr>
          <w:p>
            <w:pPr>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（一）评分内容：</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1.投标人或制造商获得质量管理体系认证证书的得35%分。</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2.投标人或制造商获得环境管理体系认证证书的得35%分。</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3.投标人或制造商获得职业健康安全管理体系认证证书的得35%分。</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以上累计得分，最高得100%分数。</w:t>
            </w:r>
          </w:p>
          <w:p>
            <w:pPr>
              <w:widowControl w:val="0"/>
              <w:autoSpaceDE w:val="0"/>
              <w:autoSpaceDN w:val="0"/>
              <w:adjustRightInd w:val="0"/>
              <w:spacing w:line="360" w:lineRule="auto"/>
              <w:textAlignment w:val="baseline"/>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（二）评分依据：</w:t>
            </w:r>
          </w:p>
          <w:p>
            <w:pPr>
              <w:widowControl w:val="0"/>
              <w:autoSpaceDE w:val="0"/>
              <w:autoSpaceDN w:val="0"/>
              <w:adjustRightInd w:val="0"/>
              <w:spacing w:line="360" w:lineRule="auto"/>
              <w:jc w:val="both"/>
              <w:textAlignment w:val="baseline"/>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1.提供有效认证证书及全国认证认可信息公共服务平台（http://cx.cnca.cn）查询截图。</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2.未提供或提供不清晰导致无法识别的不得分。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CellSpacing w:w="0" w:type="dxa"/>
          <w:jc w:val="center"/>
        </w:trPr>
        <w:tc>
          <w:tcPr>
            <w:tcW w:w="421" w:type="pct"/>
            <w:vMerge w:val="continue"/>
            <w:vAlign w:val="center"/>
          </w:tcPr>
          <w:p>
            <w:pPr>
              <w:widowControl w:val="0"/>
              <w:spacing w:line="360" w:lineRule="auto"/>
              <w:jc w:val="both"/>
              <w:rPr>
                <w:rFonts w:hint="eastAsia" w:ascii="方正仿宋_GBK" w:hAnsi="方正仿宋_GBK" w:eastAsia="方正仿宋_GBK" w:cs="方正仿宋_GBK"/>
                <w:b w:val="0"/>
                <w:bCs w:val="0"/>
                <w:kern w:val="44"/>
                <w:sz w:val="30"/>
                <w:szCs w:val="30"/>
              </w:rPr>
            </w:pPr>
          </w:p>
        </w:tc>
        <w:tc>
          <w:tcPr>
            <w:tcW w:w="498"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2</w:t>
            </w:r>
          </w:p>
        </w:tc>
        <w:tc>
          <w:tcPr>
            <w:tcW w:w="707"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同类</w:t>
            </w:r>
          </w:p>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业绩情况</w:t>
            </w:r>
          </w:p>
        </w:tc>
        <w:tc>
          <w:tcPr>
            <w:tcW w:w="354"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5</w:t>
            </w:r>
          </w:p>
        </w:tc>
        <w:tc>
          <w:tcPr>
            <w:tcW w:w="426" w:type="pct"/>
            <w:vAlign w:val="center"/>
          </w:tcPr>
          <w:p>
            <w:pPr>
              <w:widowControl w:val="0"/>
              <w:snapToGrid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专家打分</w:t>
            </w:r>
          </w:p>
        </w:tc>
        <w:tc>
          <w:tcPr>
            <w:tcW w:w="2591" w:type="pct"/>
            <w:vAlign w:val="center"/>
          </w:tcPr>
          <w:p>
            <w:pPr>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（一）评分内容：</w:t>
            </w:r>
          </w:p>
          <w:p>
            <w:pPr>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考察投标人近三年（2020年</w:t>
            </w:r>
            <w:r>
              <w:rPr>
                <w:rFonts w:hint="eastAsia" w:ascii="方正仿宋_GBK" w:hAnsi="方正仿宋_GBK" w:eastAsia="方正仿宋_GBK" w:cs="方正仿宋_GBK"/>
                <w:b w:val="0"/>
                <w:bCs w:val="0"/>
                <w:kern w:val="2"/>
                <w:sz w:val="30"/>
                <w:szCs w:val="30"/>
                <w:lang w:val="en-US" w:eastAsia="zh-CN"/>
              </w:rPr>
              <w:t>1</w:t>
            </w:r>
            <w:r>
              <w:rPr>
                <w:rFonts w:hint="eastAsia" w:ascii="方正仿宋_GBK" w:hAnsi="方正仿宋_GBK" w:eastAsia="方正仿宋_GBK" w:cs="方正仿宋_GBK"/>
                <w:b w:val="0"/>
                <w:bCs w:val="0"/>
                <w:kern w:val="2"/>
                <w:sz w:val="30"/>
                <w:szCs w:val="30"/>
              </w:rPr>
              <w:t>1月1日至本项目投标截止日，以合同签订日期为准）电</w:t>
            </w:r>
            <w:r>
              <w:rPr>
                <w:rFonts w:hint="eastAsia" w:ascii="方正仿宋_GBK" w:hAnsi="方正仿宋_GBK" w:eastAsia="方正仿宋_GBK" w:cs="方正仿宋_GBK"/>
                <w:b w:val="0"/>
                <w:bCs w:val="0"/>
                <w:kern w:val="2"/>
                <w:sz w:val="30"/>
                <w:szCs w:val="30"/>
                <w:lang w:eastAsia="zh-CN"/>
              </w:rPr>
              <w:t>瓶观光</w:t>
            </w:r>
            <w:r>
              <w:rPr>
                <w:rFonts w:hint="eastAsia" w:ascii="方正仿宋_GBK" w:hAnsi="方正仿宋_GBK" w:eastAsia="方正仿宋_GBK" w:cs="方正仿宋_GBK"/>
                <w:b w:val="0"/>
                <w:bCs w:val="0"/>
                <w:kern w:val="2"/>
                <w:sz w:val="30"/>
                <w:szCs w:val="30"/>
              </w:rPr>
              <w:t>车销售业绩情况，每提供1份销售业绩合同得25%分，满分100%分。同一采购单位续签的合同不重复计分。</w:t>
            </w:r>
          </w:p>
          <w:p>
            <w:pPr>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（二）评分依据：</w:t>
            </w:r>
          </w:p>
          <w:p>
            <w:pPr>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1.提供合同关键页（包括合同项目名称、签订日期、合同内容、签订合同双方的落款盖章）。</w:t>
            </w:r>
          </w:p>
          <w:p>
            <w:pPr>
              <w:widowControl w:val="0"/>
              <w:autoSpaceDE w:val="0"/>
              <w:autoSpaceDN w:val="0"/>
              <w:adjustRightInd w:val="0"/>
              <w:spacing w:line="360" w:lineRule="auto"/>
              <w:textAlignment w:val="baseline"/>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kern w:val="2"/>
                <w:sz w:val="30"/>
                <w:szCs w:val="30"/>
              </w:rPr>
              <w:t>2.以上文件原件备查。未提供或提供不清晰导致无法识别的不得分。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blCellSpacing w:w="0" w:type="dxa"/>
          <w:jc w:val="center"/>
        </w:trPr>
        <w:tc>
          <w:tcPr>
            <w:tcW w:w="421"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四</w:t>
            </w:r>
          </w:p>
        </w:tc>
        <w:tc>
          <w:tcPr>
            <w:tcW w:w="1986" w:type="pct"/>
            <w:gridSpan w:val="4"/>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其它部分</w:t>
            </w:r>
          </w:p>
        </w:tc>
        <w:tc>
          <w:tcPr>
            <w:tcW w:w="2591" w:type="pct"/>
            <w:vAlign w:val="center"/>
          </w:tcPr>
          <w:p>
            <w:pPr>
              <w:widowControl w:val="0"/>
              <w:spacing w:line="360" w:lineRule="auto"/>
              <w:jc w:val="center"/>
              <w:rPr>
                <w:rFonts w:hint="eastAsia" w:ascii="方正仿宋_GBK" w:hAnsi="方正仿宋_GBK" w:eastAsia="方正仿宋_GBK" w:cs="方正仿宋_GBK"/>
                <w:b w:val="0"/>
                <w:bCs w:val="0"/>
                <w:color w:val="FF0000"/>
                <w:kern w:val="44"/>
                <w:sz w:val="30"/>
                <w:szCs w:val="30"/>
              </w:rPr>
            </w:pPr>
            <w:r>
              <w:rPr>
                <w:rFonts w:hint="eastAsia" w:ascii="方正仿宋_GBK" w:hAnsi="方正仿宋_GBK" w:eastAsia="方正仿宋_GBK" w:cs="方正仿宋_GBK"/>
                <w:b w:val="0"/>
                <w:bCs w:val="0"/>
                <w:kern w:val="44"/>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CellSpacing w:w="0" w:type="dxa"/>
          <w:jc w:val="center"/>
        </w:trPr>
        <w:tc>
          <w:tcPr>
            <w:tcW w:w="421" w:type="pct"/>
            <w:vMerge w:val="restart"/>
            <w:vAlign w:val="center"/>
          </w:tcPr>
          <w:p>
            <w:pPr>
              <w:widowControl w:val="0"/>
              <w:spacing w:line="360" w:lineRule="auto"/>
              <w:jc w:val="both"/>
              <w:rPr>
                <w:rFonts w:hint="eastAsia" w:ascii="方正仿宋_GBK" w:hAnsi="方正仿宋_GBK" w:eastAsia="方正仿宋_GBK" w:cs="方正仿宋_GBK"/>
                <w:b w:val="0"/>
                <w:bCs w:val="0"/>
                <w:kern w:val="2"/>
                <w:sz w:val="30"/>
                <w:szCs w:val="30"/>
              </w:rPr>
            </w:pPr>
          </w:p>
        </w:tc>
        <w:tc>
          <w:tcPr>
            <w:tcW w:w="498"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序号</w:t>
            </w:r>
          </w:p>
        </w:tc>
        <w:tc>
          <w:tcPr>
            <w:tcW w:w="707"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评分因素</w:t>
            </w:r>
          </w:p>
        </w:tc>
        <w:tc>
          <w:tcPr>
            <w:tcW w:w="354"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权重</w:t>
            </w:r>
          </w:p>
        </w:tc>
        <w:tc>
          <w:tcPr>
            <w:tcW w:w="426"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评分方式</w:t>
            </w:r>
          </w:p>
        </w:tc>
        <w:tc>
          <w:tcPr>
            <w:tcW w:w="2591" w:type="pct"/>
            <w:vAlign w:val="center"/>
          </w:tcPr>
          <w:p>
            <w:pPr>
              <w:widowControl w:val="0"/>
              <w:spacing w:line="360" w:lineRule="auto"/>
              <w:jc w:val="center"/>
              <w:rPr>
                <w:rFonts w:hint="eastAsia" w:ascii="方正仿宋_GBK" w:hAnsi="方正仿宋_GBK" w:eastAsia="方正仿宋_GBK" w:cs="方正仿宋_GBK"/>
                <w:b w:val="0"/>
                <w:bCs w:val="0"/>
                <w:kern w:val="44"/>
                <w:sz w:val="30"/>
                <w:szCs w:val="30"/>
              </w:rPr>
            </w:pPr>
            <w:r>
              <w:rPr>
                <w:rFonts w:hint="eastAsia" w:ascii="方正仿宋_GBK" w:hAnsi="方正仿宋_GBK" w:eastAsia="方正仿宋_GBK" w:cs="方正仿宋_GBK"/>
                <w:b w:val="0"/>
                <w:bCs w:val="0"/>
                <w:kern w:val="44"/>
                <w:sz w:val="30"/>
                <w:szCs w:val="30"/>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blCellSpacing w:w="0" w:type="dxa"/>
          <w:jc w:val="center"/>
        </w:trPr>
        <w:tc>
          <w:tcPr>
            <w:tcW w:w="421" w:type="pct"/>
            <w:vMerge w:val="continue"/>
            <w:vAlign w:val="center"/>
          </w:tcPr>
          <w:p>
            <w:pPr>
              <w:widowControl w:val="0"/>
              <w:spacing w:line="360" w:lineRule="auto"/>
              <w:jc w:val="both"/>
              <w:rPr>
                <w:rFonts w:hint="eastAsia" w:ascii="方正仿宋_GBK" w:hAnsi="方正仿宋_GBK" w:eastAsia="方正仿宋_GBK" w:cs="方正仿宋_GBK"/>
                <w:b w:val="0"/>
                <w:bCs w:val="0"/>
                <w:kern w:val="2"/>
                <w:sz w:val="30"/>
                <w:szCs w:val="30"/>
              </w:rPr>
            </w:pPr>
          </w:p>
        </w:tc>
        <w:tc>
          <w:tcPr>
            <w:tcW w:w="498"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1</w:t>
            </w:r>
          </w:p>
        </w:tc>
        <w:tc>
          <w:tcPr>
            <w:tcW w:w="707"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诚信分</w:t>
            </w:r>
          </w:p>
        </w:tc>
        <w:tc>
          <w:tcPr>
            <w:tcW w:w="354"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5</w:t>
            </w:r>
          </w:p>
        </w:tc>
        <w:tc>
          <w:tcPr>
            <w:tcW w:w="426" w:type="pct"/>
            <w:vAlign w:val="center"/>
          </w:tcPr>
          <w:p>
            <w:pPr>
              <w:widowControl w:val="0"/>
              <w:spacing w:line="360" w:lineRule="auto"/>
              <w:jc w:val="center"/>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专家打分</w:t>
            </w:r>
          </w:p>
        </w:tc>
        <w:tc>
          <w:tcPr>
            <w:tcW w:w="2591" w:type="pct"/>
            <w:vAlign w:val="center"/>
          </w:tcPr>
          <w:p>
            <w:pPr>
              <w:widowControl w:val="0"/>
              <w:numPr>
                <w:ilvl w:val="0"/>
                <w:numId w:val="2"/>
              </w:numPr>
              <w:snapToGrid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 xml:space="preserve">评分内容： </w:t>
            </w:r>
          </w:p>
          <w:p>
            <w:pPr>
              <w:widowControl w:val="0"/>
              <w:snapToGrid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投标人在参与政府采购活动中存在诚信相关问题且在主管部门相关处理措施实施期限内的，本项不得分，否则得满分。</w:t>
            </w:r>
          </w:p>
          <w:p>
            <w:pPr>
              <w:widowControl w:val="0"/>
              <w:numPr>
                <w:ilvl w:val="0"/>
                <w:numId w:val="2"/>
              </w:numPr>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rPr>
              <w:t>评分依据：</w:t>
            </w:r>
          </w:p>
          <w:p>
            <w:pPr>
              <w:widowControl w:val="0"/>
              <w:spacing w:line="360" w:lineRule="auto"/>
              <w:jc w:val="both"/>
              <w:rPr>
                <w:rFonts w:hint="eastAsia" w:ascii="方正仿宋_GBK" w:hAnsi="方正仿宋_GBK" w:eastAsia="方正仿宋_GBK" w:cs="方正仿宋_GBK"/>
                <w:b w:val="0"/>
                <w:bCs w:val="0"/>
                <w:kern w:val="2"/>
                <w:sz w:val="30"/>
                <w:szCs w:val="30"/>
              </w:rPr>
            </w:pPr>
            <w:r>
              <w:rPr>
                <w:rFonts w:hint="eastAsia" w:ascii="方正仿宋_GBK" w:hAnsi="方正仿宋_GBK" w:eastAsia="方正仿宋_GBK" w:cs="方正仿宋_GBK"/>
                <w:b w:val="0"/>
                <w:bCs w:val="0"/>
                <w:kern w:val="2"/>
                <w:sz w:val="30"/>
                <w:szCs w:val="30"/>
                <w:lang w:eastAsia="zh-CN"/>
              </w:rPr>
              <w:t>投标人按招标文件格式提供《诚信承诺函》并加盖投标人公章，如被认定提供的陈述与事实不符的，此项不得分并依法追究其责任</w:t>
            </w:r>
            <w:r>
              <w:rPr>
                <w:rFonts w:hint="eastAsia" w:ascii="方正仿宋_GBK" w:hAnsi="方正仿宋_GBK" w:eastAsia="方正仿宋_GBK" w:cs="方正仿宋_GBK"/>
                <w:b w:val="0"/>
                <w:bCs w:val="0"/>
                <w:kern w:val="2"/>
                <w:sz w:val="30"/>
                <w:szCs w:val="30"/>
              </w:rPr>
              <w:t>。</w:t>
            </w:r>
          </w:p>
        </w:tc>
      </w:tr>
    </w:tbl>
    <w:p>
      <w:pPr>
        <w:numPr>
          <w:ilvl w:val="0"/>
          <w:numId w:val="0"/>
        </w:numPr>
        <w:rPr>
          <w:rFonts w:hint="default" w:asciiTheme="majorEastAsia" w:hAnsiTheme="majorEastAsia" w:eastAsiaTheme="majorEastAsia" w:cstheme="majorEastAsia"/>
          <w:b/>
          <w:bCs/>
          <w:sz w:val="32"/>
          <w:szCs w:val="32"/>
          <w:lang w:val="en-US" w:eastAsia="zh-CN"/>
        </w:rPr>
      </w:pPr>
    </w:p>
    <w:p>
      <w:pPr>
        <w:spacing w:line="560" w:lineRule="exact"/>
        <w:rPr>
          <w:rFonts w:hint="eastAsia"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CB1E15"/>
    <w:multiLevelType w:val="singleLevel"/>
    <w:tmpl w:val="FECB1E15"/>
    <w:lvl w:ilvl="0" w:tentative="0">
      <w:start w:val="2"/>
      <w:numFmt w:val="chineseCounting"/>
      <w:suff w:val="nothing"/>
      <w:lvlText w:val="（%1）"/>
      <w:lvlJc w:val="left"/>
      <w:rPr>
        <w:rFonts w:hint="eastAsia"/>
      </w:rPr>
    </w:lvl>
  </w:abstractNum>
  <w:abstractNum w:abstractNumId="1">
    <w:nsid w:val="6359FEAE"/>
    <w:multiLevelType w:val="singleLevel"/>
    <w:tmpl w:val="6359FEAE"/>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25E12"/>
    <w:rsid w:val="06225E12"/>
    <w:rsid w:val="1D986AA0"/>
    <w:rsid w:val="1DE3665C"/>
    <w:rsid w:val="3D9B017A"/>
    <w:rsid w:val="3DAF6CF6"/>
    <w:rsid w:val="68BA5597"/>
    <w:rsid w:val="6DFB02C8"/>
    <w:rsid w:val="77E748D1"/>
    <w:rsid w:val="7D5A42E1"/>
    <w:rsid w:val="AE7F99AE"/>
    <w:rsid w:val="D46E1199"/>
    <w:rsid w:val="F2DFDDD8"/>
    <w:rsid w:val="FDFBF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line="360" w:lineRule="auto"/>
      <w:ind w:firstLine="200" w:firstLineChars="200"/>
    </w:pPr>
    <w:rPr>
      <w:rFonts w:ascii="宋体"/>
      <w:szCs w:val="20"/>
    </w:rPr>
  </w:style>
  <w:style w:type="paragraph" w:styleId="3">
    <w:name w:val="Body Text Indent"/>
    <w:basedOn w:val="1"/>
    <w:next w:val="2"/>
    <w:qFormat/>
    <w:uiPriority w:val="0"/>
    <w:pPr>
      <w:widowControl w:val="0"/>
      <w:spacing w:after="120" w:line="240" w:lineRule="auto"/>
      <w:ind w:left="200" w:leftChars="200"/>
      <w:textAlignment w:val="auto"/>
    </w:pPr>
    <w:rPr>
      <w:color w:val="auto"/>
      <w:kern w:val="2"/>
      <w:szCs w:val="24"/>
    </w:rPr>
  </w:style>
  <w:style w:type="paragraph" w:styleId="4">
    <w:name w:val="Normal Indent"/>
    <w:basedOn w:val="1"/>
    <w:next w:val="5"/>
    <w:unhideWhenUsed/>
    <w:qFormat/>
    <w:uiPriority w:val="0"/>
    <w:pPr>
      <w:spacing w:line="360" w:lineRule="auto"/>
      <w:ind w:firstLine="640" w:firstLineChars="200"/>
    </w:pPr>
    <w:rPr>
      <w:rFonts w:ascii="宋体" w:hAnsi="宋体" w:eastAsia="宋体"/>
      <w:sz w:val="21"/>
    </w:rPr>
  </w:style>
  <w:style w:type="paragraph" w:customStyle="1" w:styleId="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toc 7"/>
    <w:basedOn w:val="1"/>
    <w:next w:val="1"/>
    <w:unhideWhenUsed/>
    <w:qFormat/>
    <w:uiPriority w:val="39"/>
    <w:pPr>
      <w:ind w:left="1260"/>
      <w:jc w:val="left"/>
    </w:pPr>
    <w:rPr>
      <w:sz w:val="18"/>
      <w:szCs w:val="18"/>
    </w:rPr>
  </w:style>
  <w:style w:type="paragraph" w:styleId="7">
    <w:name w:val="Body Text"/>
    <w:basedOn w:val="1"/>
    <w:next w:val="8"/>
    <w:qFormat/>
    <w:uiPriority w:val="0"/>
    <w:pPr>
      <w:widowControl w:val="0"/>
      <w:snapToGrid w:val="0"/>
      <w:spacing w:line="360" w:lineRule="auto"/>
    </w:pPr>
    <w:rPr>
      <w:rFonts w:ascii="Arial" w:hAnsi="Arial" w:eastAsia="仿宋_GB2312"/>
      <w:sz w:val="31"/>
    </w:rPr>
  </w:style>
  <w:style w:type="paragraph" w:styleId="8">
    <w:name w:val="Title"/>
    <w:basedOn w:val="1"/>
    <w:next w:val="1"/>
    <w:qFormat/>
    <w:uiPriority w:val="0"/>
    <w:pPr>
      <w:spacing w:before="240" w:after="60"/>
      <w:jc w:val="center"/>
      <w:outlineLvl w:val="0"/>
    </w:pPr>
    <w:rPr>
      <w:rFonts w:ascii="等线 Light" w:hAnsi="等线 Light" w:eastAsia="等线 Light"/>
      <w:b/>
      <w:bCs/>
      <w:sz w:val="32"/>
      <w:szCs w:val="32"/>
    </w:rPr>
  </w:style>
  <w:style w:type="paragraph" w:styleId="9">
    <w:name w:val="Balloon Text"/>
    <w:basedOn w:val="1"/>
    <w:semiHidden/>
    <w:qFormat/>
    <w:uiPriority w:val="0"/>
    <w:rPr>
      <w:sz w:val="18"/>
      <w:szCs w:val="18"/>
    </w:rPr>
  </w:style>
  <w:style w:type="paragraph" w:styleId="10">
    <w:name w:val="envelope return"/>
    <w:basedOn w:val="1"/>
    <w:next w:val="6"/>
    <w:qFormat/>
    <w:uiPriority w:val="0"/>
    <w:pPr>
      <w:snapToGrid w:val="0"/>
    </w:pPr>
    <w:rPr>
      <w:rFonts w:ascii="Arial" w:hAnsi="Arial"/>
    </w:rPr>
  </w:style>
  <w:style w:type="paragraph" w:styleId="11">
    <w:name w:val="Normal (Web)"/>
    <w:basedOn w:val="1"/>
    <w:qFormat/>
    <w:uiPriority w:val="99"/>
    <w:rPr>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OC 标题2"/>
    <w:next w:val="1"/>
    <w:qFormat/>
    <w:uiPriority w:val="0"/>
    <w:pPr>
      <w:wordWrap w:val="0"/>
    </w:pPr>
    <w:rPr>
      <w:rFonts w:ascii="Times New Roman" w:hAnsi="Times New Roman" w:eastAsia="宋体" w:cs="Times New Roman"/>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2023-11-19T23:30:00Z</dcterms:created>
  <dc:creator>彭亮</dc:creator>
  <cp:lastModifiedBy>郑锦婷</cp:lastModifiedBy>
  <dcterms:modified xsi:type="dcterms:W3CDTF">2023-11-23T16:58:13Z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