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Autospacing="0" w:after="0" w:line="396" w:lineRule="atLeast"/>
        <w:ind w:left="0" w:leftChars="0" w:right="0" w:firstLine="0" w:firstLineChars="0"/>
        <w:jc w:val="both"/>
        <w:textAlignment w:val="auto"/>
        <w:outlineLvl w:val="9"/>
        <w:rPr>
          <w:rFonts w:hint="eastAsia" w:ascii="宋体" w:hAnsi="宋体" w:eastAsia="宋体" w:cs="宋体"/>
          <w:spacing w:val="0"/>
          <w:kern w:val="21"/>
          <w:sz w:val="24"/>
          <w:szCs w:val="24"/>
        </w:rPr>
      </w:pPr>
      <w:r>
        <w:rPr>
          <w:rFonts w:hint="eastAsia" w:ascii="宋体" w:hAnsi="宋体" w:eastAsia="宋体" w:cs="宋体"/>
          <w:spacing w:val="0"/>
          <w:kern w:val="21"/>
          <w:sz w:val="24"/>
          <w:szCs w:val="24"/>
        </w:rPr>
        <w:t>附件5</w:t>
      </w:r>
    </w:p>
    <w:p>
      <w:pPr>
        <w:keepNext w:val="0"/>
        <w:keepLines w:val="0"/>
        <w:pageBreakBefore w:val="0"/>
        <w:widowControl w:val="0"/>
        <w:kinsoku/>
        <w:wordWrap/>
        <w:overflowPunct/>
        <w:topLinePunct w:val="0"/>
        <w:autoSpaceDE/>
        <w:autoSpaceDN/>
        <w:bidi w:val="0"/>
        <w:adjustRightInd w:val="0"/>
        <w:snapToGrid w:val="0"/>
        <w:spacing w:after="222" w:afterLines="50" w:line="0" w:lineRule="atLeast"/>
        <w:ind w:left="0" w:right="0" w:firstLine="0" w:firstLineChars="0"/>
        <w:jc w:val="center"/>
        <w:textAlignment w:val="auto"/>
        <w:outlineLvl w:val="9"/>
        <w:rPr>
          <w:rFonts w:hint="eastAsia" w:ascii="宋体" w:hAnsi="宋体" w:eastAsia="宋体" w:cs="宋体"/>
          <w:spacing w:val="0"/>
          <w:kern w:val="21"/>
          <w:sz w:val="36"/>
          <w:szCs w:val="36"/>
        </w:rPr>
      </w:pPr>
      <w:bookmarkStart w:id="0" w:name="_GoBack"/>
      <w:r>
        <w:rPr>
          <w:rFonts w:hint="eastAsia" w:ascii="宋体" w:hAnsi="宋体" w:eastAsia="宋体" w:cs="宋体"/>
          <w:spacing w:val="0"/>
          <w:kern w:val="21"/>
          <w:sz w:val="36"/>
          <w:szCs w:val="36"/>
        </w:rPr>
        <w:t>深圳市老年人居家适老化改造项目建议清单</w:t>
      </w:r>
    </w:p>
    <w:bookmarkEnd w:id="0"/>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72"/>
        <w:gridCol w:w="458"/>
        <w:gridCol w:w="920"/>
        <w:gridCol w:w="5114"/>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34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类别</w:t>
            </w:r>
          </w:p>
        </w:tc>
        <w:tc>
          <w:tcPr>
            <w:tcW w:w="2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eastAsia" w:ascii="黑体" w:hAnsi="黑体" w:eastAsia="黑体" w:cs="黑体"/>
              </w:rPr>
            </w:pPr>
            <w:r>
              <w:rPr>
                <w:rFonts w:hint="eastAsia" w:ascii="黑体" w:hAnsi="黑体" w:eastAsia="黑体" w:cs="黑体"/>
              </w:rPr>
              <w:t>序号</w:t>
            </w:r>
          </w:p>
        </w:tc>
        <w:tc>
          <w:tcPr>
            <w:tcW w:w="54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内容</w:t>
            </w:r>
          </w:p>
        </w:tc>
        <w:tc>
          <w:tcPr>
            <w:tcW w:w="30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作用说明</w:t>
            </w:r>
          </w:p>
        </w:tc>
        <w:tc>
          <w:tcPr>
            <w:tcW w:w="77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基础/可选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34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身体能力评估</w:t>
            </w:r>
          </w:p>
        </w:tc>
        <w:tc>
          <w:tcPr>
            <w:tcW w:w="2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1</w:t>
            </w:r>
          </w:p>
        </w:tc>
        <w:tc>
          <w:tcPr>
            <w:tcW w:w="5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老年人身体能力评估</w:t>
            </w:r>
          </w:p>
        </w:tc>
        <w:tc>
          <w:tcPr>
            <w:tcW w:w="305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第二类资助对象中以“年满60</w:t>
            </w:r>
            <w:r>
              <w:rPr>
                <w:rFonts w:hint="eastAsia" w:ascii="宋体" w:hAnsi="宋体" w:eastAsia="宋体" w:cs="宋体"/>
                <w:b w:val="0"/>
                <w:bCs w:val="0"/>
                <w:spacing w:val="0"/>
                <w:kern w:val="21"/>
                <w:sz w:val="21"/>
                <w:szCs w:val="21"/>
                <w:lang w:eastAsia="zh-CN"/>
              </w:rPr>
              <w:t>－</w:t>
            </w:r>
            <w:r>
              <w:rPr>
                <w:rFonts w:hint="eastAsia" w:ascii="宋体" w:hAnsi="宋体" w:eastAsia="宋体" w:cs="宋体"/>
                <w:b w:val="0"/>
                <w:bCs w:val="0"/>
                <w:spacing w:val="0"/>
                <w:kern w:val="21"/>
                <w:sz w:val="21"/>
                <w:szCs w:val="21"/>
              </w:rPr>
              <w:t>69周岁经全市统一的老年人能力等级评估为中度以上失能的老年人”，需开展身体能力评估，其他类别申请人无需参加评估。</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老年人失能等级需由深圳市老年人能力评估定点医疗机构进行评估认定，机构名单可登录深圳市民政局门户网站查询。经评估为中度以上失能且符合其他资助条件、被确定为资助对象的老年人，其能力评估费用列入适老化改造资助范围；经评估为轻度失能及以下，或因其他原因不符合资助条件的老年人，其能力评估费用由老年人自行承担。</w:t>
            </w:r>
          </w:p>
        </w:tc>
        <w:tc>
          <w:tcPr>
            <w:tcW w:w="77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color w:val="000000"/>
                <w:spacing w:val="0"/>
                <w:kern w:val="21"/>
                <w:sz w:val="21"/>
                <w:szCs w:val="21"/>
              </w:rPr>
            </w:pPr>
            <w:r>
              <w:rPr>
                <w:rFonts w:hint="eastAsia" w:ascii="宋体" w:hAnsi="宋体" w:eastAsia="宋体" w:cs="宋体"/>
                <w:b w:val="0"/>
                <w:bCs w:val="0"/>
                <w:color w:val="000000"/>
                <w:spacing w:val="0"/>
                <w:kern w:val="21"/>
                <w:sz w:val="21"/>
                <w:szCs w:val="21"/>
              </w:rPr>
              <w:t>基础/可选</w:t>
            </w:r>
          </w:p>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color w:val="000000"/>
                <w:spacing w:val="0"/>
                <w:kern w:val="21"/>
                <w:sz w:val="21"/>
                <w:szCs w:val="21"/>
              </w:rPr>
            </w:pPr>
            <w:r>
              <w:rPr>
                <w:rFonts w:hint="eastAsia" w:ascii="宋体" w:hAnsi="宋体" w:eastAsia="宋体" w:cs="宋体"/>
                <w:b w:val="0"/>
                <w:bCs w:val="0"/>
                <w:color w:val="000000"/>
                <w:spacing w:val="0"/>
                <w:kern w:val="21"/>
                <w:sz w:val="21"/>
                <w:szCs w:val="21"/>
              </w:rPr>
              <w:t>（因医疗机构定价差异，约为200</w:t>
            </w:r>
            <w:r>
              <w:rPr>
                <w:rFonts w:hint="eastAsia" w:ascii="宋体" w:hAnsi="宋体" w:eastAsia="宋体" w:cs="宋体"/>
                <w:b w:val="0"/>
                <w:bCs w:val="0"/>
                <w:color w:val="000000"/>
                <w:spacing w:val="0"/>
                <w:kern w:val="21"/>
                <w:sz w:val="21"/>
                <w:szCs w:val="21"/>
                <w:lang w:eastAsia="zh-CN"/>
              </w:rPr>
              <w:t>－</w:t>
            </w:r>
            <w:r>
              <w:rPr>
                <w:rFonts w:hint="eastAsia" w:ascii="宋体" w:hAnsi="宋体" w:eastAsia="宋体" w:cs="宋体"/>
                <w:b w:val="0"/>
                <w:bCs w:val="0"/>
                <w:color w:val="000000"/>
                <w:spacing w:val="0"/>
                <w:kern w:val="21"/>
                <w:sz w:val="21"/>
                <w:szCs w:val="21"/>
              </w:rPr>
              <w:t>300元）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341"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室内行走便利</w:t>
            </w:r>
          </w:p>
        </w:tc>
        <w:tc>
          <w:tcPr>
            <w:tcW w:w="27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2</w:t>
            </w:r>
          </w:p>
        </w:tc>
        <w:tc>
          <w:tcPr>
            <w:tcW w:w="54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防滑处理</w:t>
            </w:r>
          </w:p>
        </w:tc>
        <w:tc>
          <w:tcPr>
            <w:tcW w:w="3055"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在卫生间、厨房等区域，铺设PVC等材质的防滑地砖（地板、地胶），避免滑倒并具有一定的防潮作用。卫生间局部可使用防滑垫。</w:t>
            </w:r>
          </w:p>
        </w:tc>
        <w:tc>
          <w:tcPr>
            <w:tcW w:w="77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03"/>
        <w:gridCol w:w="404"/>
        <w:gridCol w:w="1085"/>
        <w:gridCol w:w="4993"/>
        <w:gridCol w:w="14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类别</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黑体" w:hAnsi="黑体" w:eastAsia="黑体" w:cs="黑体"/>
              </w:rPr>
            </w:pPr>
            <w:r>
              <w:rPr>
                <w:rFonts w:hint="eastAsia" w:ascii="黑体" w:hAnsi="黑体" w:eastAsia="黑体" w:cs="黑体"/>
              </w:rPr>
              <w:t>序号</w:t>
            </w:r>
          </w:p>
        </w:tc>
        <w:tc>
          <w:tcPr>
            <w:tcW w:w="64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内容</w:t>
            </w:r>
          </w:p>
        </w:tc>
        <w:tc>
          <w:tcPr>
            <w:tcW w:w="298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作用说明</w:t>
            </w:r>
          </w:p>
        </w:tc>
        <w:tc>
          <w:tcPr>
            <w:tcW w:w="88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基础/可选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lang w:val="en-US" w:eastAsia="zh-CN" w:bidi="ar-SA"/>
              </w:rPr>
            </w:pPr>
            <w:r>
              <w:rPr>
                <w:rFonts w:hint="eastAsia" w:ascii="宋体" w:hAnsi="宋体" w:eastAsia="宋体" w:cs="宋体"/>
                <w:b w:val="0"/>
                <w:bCs w:val="0"/>
                <w:spacing w:val="0"/>
                <w:kern w:val="21"/>
                <w:sz w:val="21"/>
                <w:szCs w:val="21"/>
              </w:rPr>
              <w:t>室内行走便利</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地面高差处理</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台阶改坡道，铺设水泥坡道，保证路面平滑、无高差障碍，避免老年人行走发生磕碰跌倒，方便轮椅进出。门槛高度较低或不宜铺设水泥坡道情况下，可加设橡胶等材质的可移动式坡道。</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平整硬化</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屋内（外）地面水泥平整硬化，方便轮椅进出。</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门槛移除</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移除门槛，保证老年人进出无磕碰跌倒风险，方便轮椅进出。</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房门拓宽</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在不影响房屋主体结构的前提下，对卫生间、厨房等空间较窄的门洞进行拓宽，改善通过性，方便轮椅进出。</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平开门改推拉门</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方便开启，增加通行宽度和辅助操作空间。</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下压式门把手改造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可用单手手掌或手指轻松操作，增加摩擦力和稳定性，方便乘轮椅老年人或者手部力量较弱的老年人开门。</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宋体" w:hAnsi="宋体" w:eastAsia="宋体" w:cs="宋体"/>
                <w:lang w:val="en-US" w:eastAsia="zh-CN"/>
              </w:rPr>
            </w:pPr>
            <w:r>
              <w:rPr>
                <w:rFonts w:hint="eastAsia" w:ascii="宋体" w:hAnsi="宋体" w:eastAsia="宋体" w:cs="宋体"/>
                <w:lang w:val="en-US" w:eastAsia="zh-CN"/>
              </w:rPr>
              <w:t>9</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安装防撞护角/防撞条</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在家具尖角或墙角处安装防撞护角或防撞条，防止老年人磕碰划伤。</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10</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安装提示标识</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黏贴防滑条、警示条等符合相关标准和老年人认知特点的提示标识。</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如厕洗澡安全</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11</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蹲便器改坐便器</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减轻蹲姿造成的腿部压力，减轻老年人如厕下蹲、站立困难。方便乘轮椅老年人使用。根据实际情况，可增加给排水路改造、地台拆除项目。</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12</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坐便椅</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坐便椅（带便桶）方便体弱或行动不方便的老年人就近如厕，一般放于卧室。</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马桶增高器</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安装在马桶上的增高装置，带扶手，提高老年人如厕时的便利性和舒适度。</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加装扶手</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在坐（蹲）便器、淋浴区、高低差变化处安装扶手，辅助老年人起身、站立、转身、坐（蹲）下和通过。包括一字型扶手、U型扶手、L形扶手、135</w:t>
            </w:r>
            <w:r>
              <w:rPr>
                <w:rFonts w:hint="eastAsia" w:ascii="宋体" w:hAnsi="宋体" w:eastAsia="宋体" w:cs="宋体"/>
                <w:b w:val="0"/>
                <w:bCs w:val="0"/>
                <w:spacing w:val="-20"/>
                <w:kern w:val="21"/>
                <w:sz w:val="21"/>
                <w:szCs w:val="21"/>
              </w:rPr>
              <w:t>°</w:t>
            </w:r>
            <w:r>
              <w:rPr>
                <w:rFonts w:hint="eastAsia" w:ascii="宋体" w:hAnsi="宋体" w:eastAsia="宋体" w:cs="宋体"/>
                <w:b w:val="0"/>
                <w:bCs w:val="0"/>
                <w:spacing w:val="0"/>
                <w:kern w:val="21"/>
                <w:sz w:val="21"/>
                <w:szCs w:val="21"/>
              </w:rPr>
              <w:t>扶手、T形扶手或者助力扶手等。</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洗澡椅（浴凳）</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辅助老年人洗澡用，避免老年人滑倒，提高安全性。居家空间较小的，可配置上翻支撑淋浴壁椅。</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浴缸/淋浴房改造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拆除浴缸/淋浴房，更换浴帘、浴杆，增加淋浴空间，方便照护人员辅助老年人洗浴，以及意外跌倒后的搀扶。</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基本用水用电改造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对室内老化或裸露的电气线路进行改造，配置安全插座；对室内严重锈蚀或即将损坏的水管进行改造。</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分散供养特困老年人、最低生活保障对象老年人为基础，其他老年人为可选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厨房操作方便</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18</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台面改造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降低灶具、洗菜池、面盆等台面高度，或采用升降台面，方便乘轮椅老年人或身高较矮的老年人操作。下方留出空间，方便乘轮椅老年人靠近。</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19</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加设中部柜</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在吊柜下方设置开敞式中部柜、中部架，方便老年人取放物品。</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20</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水龙头改造</w:t>
            </w:r>
          </w:p>
        </w:tc>
        <w:tc>
          <w:tcPr>
            <w:tcW w:w="298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改装拔杆式或感应水龙头，方便乘轮椅老年人或者手部力量较弱的老年人开关水阀，避免忘关水阀。</w:t>
            </w:r>
          </w:p>
        </w:tc>
        <w:tc>
          <w:tcPr>
            <w:tcW w:w="88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03"/>
        <w:gridCol w:w="404"/>
        <w:gridCol w:w="1085"/>
        <w:gridCol w:w="5006"/>
        <w:gridCol w:w="1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类别</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eastAsia" w:ascii="黑体" w:hAnsi="黑体" w:eastAsia="黑体" w:cs="黑体"/>
              </w:rPr>
            </w:pPr>
            <w:r>
              <w:rPr>
                <w:rFonts w:hint="eastAsia" w:ascii="黑体" w:hAnsi="黑体" w:eastAsia="黑体" w:cs="黑体"/>
              </w:rPr>
              <w:t>序号</w:t>
            </w:r>
          </w:p>
        </w:tc>
        <w:tc>
          <w:tcPr>
            <w:tcW w:w="64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内容</w:t>
            </w:r>
          </w:p>
        </w:tc>
        <w:tc>
          <w:tcPr>
            <w:tcW w:w="29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作用说明</w:t>
            </w:r>
          </w:p>
        </w:tc>
        <w:tc>
          <w:tcPr>
            <w:tcW w:w="8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基础/可选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居家环境改善</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21</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电源插座及开关改造</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视情况进行高/低位改造，避免老年人下蹲或弯腰，方便老年人插拔电源和使用开关。更换老旧以及不灵敏开关，必要时增加双控电开关。</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22</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床边扶手</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在老年人床边安装护栏、抓杆或可升降式扶手，辅助老年人起身、上下床，避免翻身意外跌落，保障老年人睡眠和活动安全。</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适老家具配置</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如换鞋凳（1个）、适老椅（不超过家庭老年人数）、电动升降晾衣架等。</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更换或新增灯具</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更改或新增节能型灯具，避免直射光源、强刺激性光源，确保光线柔和，改善照明环境。</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安装感应夜灯（地灯）</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在卧室、走廊灯区域安装感应便携灯，人走灯灭，辅助老年人起夜使用。</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安装闪光震动门铃</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供听力视力障碍老年人使用。</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智能安全监护</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防走失设备</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集成老年人身份信息，可监测定位（或具备电子围栏功能）、长期待机（无需频繁充电或更换电池），避免老年人走失。实时传输数据，向老年人亲属推送意外风险信息。可采取纽扣、手环、手杖、胸卡、钥匙扣等多种形式。</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重度智力及精神残疾的老年人为基础，其他老年人为可选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28</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数据集成网关</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保证智能安全保护改造设备数据网络实时传输。</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29</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一键呼叫装置</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安装在卧室床头、卫生间坐（蹲）便器旁、淋浴区等位置，用于老年人发生紧急情况时的主动报警。实时传输数据，如发生紧急呼叫，向老年人亲属及为老服务组织推送意外风险信息。</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30</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人体感应探测器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在客厅、卫生间、卧室等居家环境中，监测老年人活动信息。实时传输数据，如发生老年人长时间处在某个区域，向老年人亲属及为老服务组织推送意外风险信息。可采取红外、AI摄像头、毫米波、雷达波等类型。</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31</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门磁感应器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安装在老年人家庭室内外出入主门口处。实时传输数据，如发生长期未关门情况，向老年人、老年人亲属及为老服务组织推送意外风险信息。</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32</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煤气泄漏报警器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发生煤气泄漏意外时，响铃提醒老年人及时处理。实时传</w:t>
            </w:r>
            <w:r>
              <w:rPr>
                <w:rFonts w:hint="eastAsia" w:ascii="宋体" w:hAnsi="宋体" w:eastAsia="宋体" w:cs="宋体"/>
                <w:b w:val="0"/>
                <w:bCs w:val="0"/>
                <w:spacing w:val="-2"/>
                <w:kern w:val="21"/>
                <w:sz w:val="21"/>
                <w:szCs w:val="21"/>
              </w:rPr>
              <w:t>输数据，向老年人亲属及为老服务组织推送意外风险信息</w:t>
            </w:r>
            <w:r>
              <w:rPr>
                <w:rFonts w:hint="eastAsia" w:ascii="宋体" w:hAnsi="宋体" w:eastAsia="宋体" w:cs="宋体"/>
                <w:b w:val="0"/>
                <w:bCs w:val="0"/>
                <w:spacing w:val="-62"/>
                <w:kern w:val="21"/>
                <w:sz w:val="21"/>
                <w:szCs w:val="21"/>
              </w:rPr>
              <w:t>。</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溢水报警器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发生溢水意外时，响铃提醒老年人及时处理。实时传输数据，向老年人亲属及为老服务组织推送意外风险信息。</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烟雾报警器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发生浓烟意外时，响铃提醒老年人及时处理。实时传输数据，向老年人亲属及为老服务组织推送意外风险信息。</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健康监测设备</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健康监测设备可分为便携式和可穿戴式，能够24小时监测老年人生命体征，如监测心电、血压、血糖、血氧、体温、心率、睡眠质量等，对异常情况及时推送。其中可穿戴式分为手环（腕带）、腰带、胸带类，手表类，服饰内置类。</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4"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智慧屏</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通过智慧屏融合音视频、健身、教育等交互模式，与老年人手机、IOT设备、智能穿戴等硬件互联互通。</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4"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4"/>
        <w:tblW w:w="491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03"/>
        <w:gridCol w:w="404"/>
        <w:gridCol w:w="1085"/>
        <w:gridCol w:w="5006"/>
        <w:gridCol w:w="1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类别</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eastAsia" w:ascii="黑体" w:hAnsi="黑体" w:eastAsia="黑体" w:cs="黑体"/>
              </w:rPr>
            </w:pPr>
            <w:r>
              <w:rPr>
                <w:rFonts w:hint="eastAsia" w:ascii="黑体" w:hAnsi="黑体" w:eastAsia="黑体" w:cs="黑体"/>
              </w:rPr>
              <w:t>序号</w:t>
            </w:r>
          </w:p>
        </w:tc>
        <w:tc>
          <w:tcPr>
            <w:tcW w:w="64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内容</w:t>
            </w:r>
          </w:p>
        </w:tc>
        <w:tc>
          <w:tcPr>
            <w:tcW w:w="29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作用说明</w:t>
            </w:r>
          </w:p>
        </w:tc>
        <w:tc>
          <w:tcPr>
            <w:tcW w:w="87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黑体" w:hAnsi="黑体" w:eastAsia="黑体" w:cs="黑体"/>
                <w:b w:val="0"/>
                <w:bCs w:val="0"/>
                <w:spacing w:val="0"/>
                <w:kern w:val="21"/>
                <w:sz w:val="21"/>
                <w:szCs w:val="21"/>
              </w:rPr>
            </w:pPr>
            <w:r>
              <w:rPr>
                <w:rFonts w:hint="eastAsia" w:ascii="黑体" w:hAnsi="黑体" w:eastAsia="黑体" w:cs="黑体"/>
                <w:b w:val="0"/>
                <w:bCs w:val="0"/>
                <w:spacing w:val="0"/>
                <w:kern w:val="21"/>
                <w:sz w:val="21"/>
                <w:szCs w:val="21"/>
              </w:rPr>
              <w:t>基础/可选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lang w:val="en-US" w:eastAsia="zh-CN" w:bidi="ar-SA"/>
              </w:rPr>
            </w:pPr>
            <w:r>
              <w:rPr>
                <w:rFonts w:hint="eastAsia" w:ascii="宋体" w:hAnsi="宋体" w:eastAsia="宋体" w:cs="宋体"/>
                <w:b w:val="0"/>
                <w:bCs w:val="0"/>
                <w:spacing w:val="0"/>
                <w:kern w:val="21"/>
                <w:sz w:val="21"/>
                <w:szCs w:val="21"/>
              </w:rPr>
              <w:t>智能安全监护</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智能门锁</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老年人发生紧急突发情况时，通过联系独居、空巢老人家庭成员，120等救援人员可通过密码第一时间进入房间，抓紧“黄金救援期”。</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38</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智能康复设备</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智能康复设备包括认知训练、上肢训练、下肢训练、感官训练等训练项目，可以为老年人及认知障碍者及肢体障碍者提供专业、科学的训练项目，帮助其恢复健康状态。</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辅助器具适配</w:t>
            </w: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39</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手杖</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包含手杖、三脚或四脚手杖、凳拐等（不超过家庭老年人数），辅助老年人平稳站立和行走。</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40</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轮椅</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自推或由家人、护理人员辅助推行，增大老年人活动空间范围，包括普通轮椅、带姿势控制的特殊轮椅和电动轮椅等。</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41</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助行器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包含框式、轮式、台式、带座助行器，辅助老年人站立和行走。</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42</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接尿器或便盆</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适用于长期卧床或行动不便的老年人。</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43</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护理床</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帮助失能老年人完成起身、侧翻、上下床、吃饭等动作，辅助喂食、处理排泄物等，仅限失能老年人配置。</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44</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防压疮垫</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重新分布臀部与背部受力，避免长期乘坐轮椅或卧床的老年人发生严重压疮，包括防压疮坐垫、靠垫或床垫等。</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45</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放大设备</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使用光学原理或电子原理进行影像放大，方便视力不佳的老年人使用，包括放大镜、放大镜指甲剪等。</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46</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助听器</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帮助老年人听清声音来源，增加与周围的交流，改善心理健康状况。</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3" w:hRule="atLeast"/>
          <w:jc w:val="center"/>
        </w:trPr>
        <w:tc>
          <w:tcPr>
            <w:tcW w:w="240" w:type="pct"/>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p>
        </w:tc>
        <w:tc>
          <w:tcPr>
            <w:tcW w:w="2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jc w:val="center"/>
              <w:textAlignment w:val="auto"/>
              <w:rPr>
                <w:rFonts w:hint="default" w:ascii="宋体" w:hAnsi="宋体" w:eastAsia="宋体" w:cs="宋体"/>
                <w:lang w:val="en-US" w:eastAsia="zh-CN"/>
              </w:rPr>
            </w:pPr>
            <w:r>
              <w:rPr>
                <w:rFonts w:hint="eastAsia" w:ascii="宋体" w:hAnsi="宋体" w:eastAsia="宋体" w:cs="宋体"/>
                <w:lang w:val="en-US" w:eastAsia="zh-CN"/>
              </w:rPr>
              <w:t>47</w:t>
            </w:r>
          </w:p>
        </w:tc>
        <w:tc>
          <w:tcPr>
            <w:tcW w:w="64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自助进食器具</w:t>
            </w:r>
          </w:p>
        </w:tc>
        <w:tc>
          <w:tcPr>
            <w:tcW w:w="299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both"/>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包括防洒碗（盘）、助食筷、弯柄勺（叉），辅助老年人进食。适老配重餐具，方便上肢及神经系统有功能障碍老年人的日常进食。</w:t>
            </w:r>
          </w:p>
        </w:tc>
        <w:tc>
          <w:tcPr>
            <w:tcW w:w="878"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60" w:lineRule="exact"/>
              <w:ind w:left="-63" w:leftChars="-30" w:right="-63" w:rightChars="-30" w:firstLine="0" w:firstLineChars="0"/>
              <w:jc w:val="center"/>
              <w:textAlignment w:val="auto"/>
              <w:outlineLvl w:val="9"/>
              <w:rPr>
                <w:rFonts w:hint="eastAsia" w:ascii="宋体" w:hAnsi="宋体" w:eastAsia="宋体" w:cs="宋体"/>
                <w:b w:val="0"/>
                <w:bCs w:val="0"/>
                <w:spacing w:val="0"/>
                <w:kern w:val="21"/>
                <w:sz w:val="21"/>
                <w:szCs w:val="21"/>
              </w:rPr>
            </w:pPr>
            <w:r>
              <w:rPr>
                <w:rFonts w:hint="eastAsia" w:ascii="宋体" w:hAnsi="宋体" w:eastAsia="宋体" w:cs="宋体"/>
                <w:b w:val="0"/>
                <w:bCs w:val="0"/>
                <w:spacing w:val="0"/>
                <w:kern w:val="21"/>
                <w:sz w:val="21"/>
                <w:szCs w:val="21"/>
              </w:rPr>
              <w:t>可选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34083A0F"/>
    <w:rsid w:val="34083A0F"/>
    <w:rsid w:val="E7DB2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pPr>
    <w:rPr>
      <w:rFonts w:ascii="Times New Roman" w:hAnsi="Times New Roman" w:eastAsia="仿宋_GB2312"/>
      <w:sz w:val="32"/>
      <w:szCs w:val="20"/>
    </w:rPr>
  </w:style>
  <w:style w:type="paragraph" w:styleId="3">
    <w:name w:val="Body Text First Indent 2"/>
    <w:basedOn w:val="2"/>
    <w:next w:val="1"/>
    <w:qFormat/>
    <w:uiPriority w:val="0"/>
    <w:pPr>
      <w:ind w:firstLine="420"/>
    </w:pPr>
    <w:rPr>
      <w:rFonts w:ascii="仿宋_GB2312" w:hAnsi="Calibri" w:eastAsia="宋体"/>
      <w:sz w:val="21"/>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2023-05-31T10:26:00Z</dcterms:created>
  <dc:creator>龙瑶</dc:creator>
  <cp:lastModifiedBy>郑锦婷</cp:lastModifiedBy>
  <dcterms:modified xsi:type="dcterms:W3CDTF">2023-05-31T17:33:20Z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58073EA3C71849078F25CD9C35D1B0B7_11</vt:lpwstr>
  </property>
</Properties>
</file>