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招标公告</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spacing w:line="40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 w:val="24"/>
                <w:highlight w:val="none"/>
                <w:u w:val="single"/>
                <w:lang w:eastAsia="zh-CN"/>
              </w:rPr>
              <w:t>捐助物资仓库管理项目</w:t>
            </w:r>
            <w:r>
              <w:rPr>
                <w:rFonts w:hint="eastAsia" w:ascii="宋体" w:hAnsi="宋体" w:eastAsia="宋体" w:cs="宋体"/>
                <w:color w:val="auto"/>
                <w:sz w:val="24"/>
                <w:highlight w:val="none"/>
              </w:rPr>
              <w:t>的潜在投标人应在</w:t>
            </w:r>
            <w:r>
              <w:rPr>
                <w:rFonts w:hint="eastAsia" w:ascii="宋体" w:hAnsi="宋体" w:eastAsia="宋体" w:cs="宋体"/>
                <w:color w:val="auto"/>
                <w:sz w:val="24"/>
                <w:highlight w:val="none"/>
                <w:u w:val="single"/>
              </w:rPr>
              <w:t>友和保险经纪有限公司</w:t>
            </w:r>
            <w:r>
              <w:rPr>
                <w:rFonts w:hint="eastAsia" w:ascii="宋体" w:hAnsi="宋体" w:eastAsia="宋体" w:cs="宋体"/>
                <w:color w:val="auto"/>
                <w:sz w:val="24"/>
                <w:highlight w:val="none"/>
              </w:rPr>
              <w:t>获取招标文件，并于</w:t>
            </w:r>
            <w:r>
              <w:rPr>
                <w:rFonts w:hint="eastAsia" w:ascii="宋体" w:hAnsi="宋体" w:eastAsia="宋体" w:cs="宋体"/>
                <w:color w:val="auto"/>
                <w:sz w:val="24"/>
                <w:highlight w:val="none"/>
                <w:u w:val="single"/>
              </w:rPr>
              <w:t>2022年</w:t>
            </w:r>
            <w:r>
              <w:rPr>
                <w:rFonts w:hint="eastAsia" w:ascii="宋体" w:hAnsi="宋体" w:eastAsia="宋体" w:cs="宋体"/>
                <w:color w:val="auto"/>
                <w:sz w:val="24"/>
                <w:highlight w:val="none"/>
                <w:u w:val="single"/>
                <w:lang w:val="en-US" w:eastAsia="zh-CN"/>
              </w:rPr>
              <w:t>11</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15</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u w:val="single"/>
              </w:rPr>
              <w:t>分00秒</w:t>
            </w:r>
            <w:r>
              <w:rPr>
                <w:rFonts w:hint="eastAsia" w:ascii="宋体" w:hAnsi="宋体" w:eastAsia="宋体" w:cs="宋体"/>
                <w:color w:val="auto"/>
                <w:sz w:val="24"/>
                <w:highlight w:val="none"/>
              </w:rPr>
              <w:t>（北京时间）前递交投标文件。</w:t>
            </w:r>
          </w:p>
        </w:tc>
      </w:tr>
    </w:tbl>
    <w:p>
      <w:pPr>
        <w:adjustRightInd w:val="0"/>
        <w:snapToGrid w:val="0"/>
        <w:spacing w:line="360" w:lineRule="auto"/>
        <w:jc w:val="left"/>
        <w:rPr>
          <w:rFonts w:hint="eastAsia" w:ascii="宋体" w:hAnsi="宋体" w:eastAsia="宋体" w:cs="宋体"/>
          <w:color w:val="auto"/>
          <w:szCs w:val="21"/>
          <w:highlight w:val="none"/>
        </w:rPr>
      </w:pPr>
    </w:p>
    <w:p>
      <w:pPr>
        <w:keepNext w:val="0"/>
        <w:keepLines w:val="0"/>
        <w:pageBreakBefore w:val="0"/>
        <w:kinsoku/>
        <w:wordWrap/>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 项目基本情况</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项目编</w:t>
      </w:r>
      <w:r>
        <w:rPr>
          <w:rFonts w:hint="eastAsia" w:ascii="宋体" w:hAnsi="宋体" w:eastAsia="宋体" w:cs="宋体"/>
          <w:bCs/>
          <w:color w:val="auto"/>
          <w:sz w:val="24"/>
          <w:highlight w:val="none"/>
        </w:rPr>
        <w:t>号：</w:t>
      </w:r>
      <w:r>
        <w:rPr>
          <w:rFonts w:hint="eastAsia" w:ascii="宋体" w:hAnsi="宋体" w:eastAsia="宋体" w:cs="宋体"/>
          <w:bCs/>
          <w:color w:val="auto"/>
          <w:sz w:val="24"/>
          <w:highlight w:val="none"/>
          <w:lang w:val="en-US" w:eastAsia="zh-CN"/>
        </w:rPr>
        <w:t>UHOSZC20220946</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lang w:eastAsia="zh-CN"/>
        </w:rPr>
        <w:t>捐助物资仓库管理项目</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项目预算</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530,000.00</w:t>
      </w:r>
      <w:r>
        <w:rPr>
          <w:rFonts w:hint="eastAsia" w:ascii="宋体" w:hAnsi="宋体" w:eastAsia="宋体" w:cs="宋体"/>
          <w:color w:val="auto"/>
          <w:sz w:val="24"/>
          <w:highlight w:val="none"/>
        </w:rPr>
        <w:t>元</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最高限价</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530,000.00元</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采购需求：详见招标文件。</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合同履行期限：详见招标文件。</w:t>
      </w:r>
    </w:p>
    <w:p>
      <w:pPr>
        <w:keepNext w:val="0"/>
        <w:keepLines w:val="0"/>
        <w:pageBreakBefore w:val="0"/>
        <w:kinsoku/>
        <w:wordWrap/>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 申请人的资格要求：</w:t>
      </w:r>
    </w:p>
    <w:p>
      <w:pPr>
        <w:pStyle w:val="2"/>
        <w:keepNext w:val="0"/>
        <w:keepLines w:val="0"/>
        <w:pageBreakBefore w:val="0"/>
        <w:widowControl w:val="0"/>
        <w:numPr>
          <w:ilvl w:val="0"/>
          <w:numId w:val="1"/>
        </w:numPr>
        <w:kinsoku/>
        <w:wordWrap/>
        <w:overflowPunct/>
        <w:topLinePunct w:val="0"/>
        <w:autoSpaceDE/>
        <w:autoSpaceDN/>
        <w:bidi w:val="0"/>
        <w:adjustRightInd/>
        <w:snapToGrid w:val="0"/>
        <w:spacing w:line="400" w:lineRule="exact"/>
        <w:ind w:left="0" w:leftChars="0" w:firstLine="425" w:firstLineChars="0"/>
        <w:textAlignment w:val="auto"/>
        <w:outlineLvl w:val="9"/>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lang w:val="zh-CN"/>
        </w:rPr>
        <w:t>投标人必须是具有独立法人资格或为具有独立承担民事责任能力的其它组织（提供在中华人民共和国境内注册的法人或其他组织的营业执照或事业单位法人证书或社会团体法人登记证书扫描件，原件备查）；</w:t>
      </w:r>
    </w:p>
    <w:p>
      <w:pPr>
        <w:pStyle w:val="2"/>
        <w:keepNext w:val="0"/>
        <w:keepLines w:val="0"/>
        <w:pageBreakBefore w:val="0"/>
        <w:widowControl w:val="0"/>
        <w:numPr>
          <w:ilvl w:val="0"/>
          <w:numId w:val="1"/>
        </w:numPr>
        <w:kinsoku/>
        <w:wordWrap/>
        <w:overflowPunct/>
        <w:topLinePunct w:val="0"/>
        <w:autoSpaceDE/>
        <w:autoSpaceDN/>
        <w:bidi w:val="0"/>
        <w:adjustRightInd/>
        <w:snapToGrid w:val="0"/>
        <w:spacing w:line="400" w:lineRule="exact"/>
        <w:ind w:left="0" w:leftChars="0" w:firstLine="425" w:firstLineChars="0"/>
        <w:textAlignment w:val="auto"/>
        <w:outlineLvl w:val="9"/>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lang w:val="zh-CN"/>
        </w:rPr>
        <w:t>参与本项目政府采购活动时不存在被有关部门禁止参与政府采购活动且在有效期内的情况（由供应商在《政府采购投标及履约承诺函》中作出声明，加盖公章）；</w:t>
      </w:r>
    </w:p>
    <w:p>
      <w:pPr>
        <w:pStyle w:val="2"/>
        <w:keepNext w:val="0"/>
        <w:keepLines w:val="0"/>
        <w:pageBreakBefore w:val="0"/>
        <w:widowControl w:val="0"/>
        <w:numPr>
          <w:ilvl w:val="0"/>
          <w:numId w:val="1"/>
        </w:numPr>
        <w:kinsoku/>
        <w:wordWrap/>
        <w:overflowPunct/>
        <w:topLinePunct w:val="0"/>
        <w:autoSpaceDE/>
        <w:autoSpaceDN/>
        <w:bidi w:val="0"/>
        <w:adjustRightInd/>
        <w:snapToGrid w:val="0"/>
        <w:spacing w:line="400" w:lineRule="exact"/>
        <w:ind w:left="0" w:leftChars="0" w:firstLine="425" w:firstLineChars="0"/>
        <w:textAlignment w:val="auto"/>
        <w:outlineLvl w:val="9"/>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lang w:val="zh-CN"/>
        </w:rPr>
        <w:t>具备《中华人民共和国政府采购法》第二十二条第一款的条件（由供应商在《政府采购投标及履约承诺函》中作出声明，加盖公章）；</w:t>
      </w:r>
    </w:p>
    <w:p>
      <w:pPr>
        <w:pStyle w:val="2"/>
        <w:keepNext w:val="0"/>
        <w:keepLines w:val="0"/>
        <w:pageBreakBefore w:val="0"/>
        <w:widowControl w:val="0"/>
        <w:numPr>
          <w:ilvl w:val="0"/>
          <w:numId w:val="1"/>
        </w:numPr>
        <w:kinsoku/>
        <w:wordWrap/>
        <w:overflowPunct/>
        <w:topLinePunct w:val="0"/>
        <w:autoSpaceDE/>
        <w:autoSpaceDN/>
        <w:bidi w:val="0"/>
        <w:adjustRightInd/>
        <w:snapToGrid w:val="0"/>
        <w:spacing w:line="400" w:lineRule="exact"/>
        <w:ind w:left="0" w:leftChars="0" w:firstLine="425" w:firstLineChars="0"/>
        <w:textAlignment w:val="auto"/>
        <w:outlineLvl w:val="9"/>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lang w:val="zh-CN"/>
        </w:rPr>
        <w:t>未被列入失信被执行人、重大税收违法案件当事人名单（税收违法黑名单）、政府采购严重违法失信行为记录名单（由供应商在《政府采购投标及履约承诺函》中作出声明，加盖公章）；【注：采购代理机构将通过“信用中国”中“信用服务”栏的“重大税收违法案件当事人名单（税收违法黑名单）”“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p>
    <w:p>
      <w:pPr>
        <w:pStyle w:val="2"/>
        <w:keepNext w:val="0"/>
        <w:keepLines w:val="0"/>
        <w:pageBreakBefore w:val="0"/>
        <w:widowControl w:val="0"/>
        <w:numPr>
          <w:ilvl w:val="0"/>
          <w:numId w:val="1"/>
        </w:numPr>
        <w:kinsoku/>
        <w:wordWrap/>
        <w:overflowPunct/>
        <w:topLinePunct w:val="0"/>
        <w:autoSpaceDE/>
        <w:autoSpaceDN/>
        <w:bidi w:val="0"/>
        <w:adjustRightInd/>
        <w:snapToGrid w:val="0"/>
        <w:spacing w:line="400" w:lineRule="exact"/>
        <w:ind w:left="0" w:leftChars="0" w:firstLine="425" w:firstLineChars="0"/>
        <w:textAlignment w:val="auto"/>
        <w:outlineLvl w:val="9"/>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lang w:val="zh-CN"/>
        </w:rPr>
        <w:t>单位法定代表人（负责人）为同一人或者存在直接控股、管理关系的不同供应商，不得同时参加本项目投标（由供应商在《政府采购投标及履约承诺函》中作出声明，加盖公章）；</w:t>
      </w:r>
    </w:p>
    <w:p>
      <w:pPr>
        <w:pStyle w:val="2"/>
        <w:keepNext w:val="0"/>
        <w:keepLines w:val="0"/>
        <w:pageBreakBefore w:val="0"/>
        <w:widowControl w:val="0"/>
        <w:numPr>
          <w:ilvl w:val="0"/>
          <w:numId w:val="1"/>
        </w:numPr>
        <w:kinsoku/>
        <w:wordWrap/>
        <w:overflowPunct/>
        <w:topLinePunct w:val="0"/>
        <w:autoSpaceDE/>
        <w:autoSpaceDN/>
        <w:bidi w:val="0"/>
        <w:adjustRightInd/>
        <w:snapToGrid w:val="0"/>
        <w:spacing w:line="400" w:lineRule="exact"/>
        <w:ind w:left="0" w:leftChars="0" w:firstLine="425" w:firstLineChars="0"/>
        <w:textAlignment w:val="auto"/>
        <w:outlineLvl w:val="9"/>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lang w:val="zh-CN"/>
        </w:rPr>
        <w:t>为本项目提供整体设计、规范编制或者项目管理、监理、检测等服务的供应商，不得参加本项目投标。（由供应商在《政府采购投标及履约承诺函》中作出声明，加盖公章）；</w:t>
      </w:r>
    </w:p>
    <w:p>
      <w:pPr>
        <w:pStyle w:val="2"/>
        <w:keepNext w:val="0"/>
        <w:keepLines w:val="0"/>
        <w:pageBreakBefore w:val="0"/>
        <w:widowControl w:val="0"/>
        <w:numPr>
          <w:ilvl w:val="0"/>
          <w:numId w:val="1"/>
        </w:numPr>
        <w:kinsoku/>
        <w:wordWrap/>
        <w:overflowPunct/>
        <w:topLinePunct w:val="0"/>
        <w:autoSpaceDE/>
        <w:autoSpaceDN/>
        <w:bidi w:val="0"/>
        <w:adjustRightInd/>
        <w:snapToGrid w:val="0"/>
        <w:spacing w:line="400" w:lineRule="exact"/>
        <w:ind w:left="0" w:leftChars="0" w:firstLine="425" w:firstLineChars="0"/>
        <w:textAlignment w:val="auto"/>
        <w:outlineLvl w:val="9"/>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zh-CN"/>
        </w:rPr>
        <w:t>本项目不接受联合体投标，不接受投标人选用进口产品参与投标，不允许转包分包（由供应商在《政府采购投标及履约承诺函》中作出声明，加盖公章）。</w:t>
      </w:r>
    </w:p>
    <w:p>
      <w:pPr>
        <w:pStyle w:val="2"/>
        <w:keepNext w:val="0"/>
        <w:keepLines w:val="0"/>
        <w:pageBreakBefore w:val="0"/>
        <w:widowControl w:val="0"/>
        <w:numPr>
          <w:ilvl w:val="0"/>
          <w:numId w:val="1"/>
        </w:numPr>
        <w:kinsoku/>
        <w:wordWrap/>
        <w:overflowPunct/>
        <w:topLinePunct w:val="0"/>
        <w:autoSpaceDE/>
        <w:autoSpaceDN/>
        <w:bidi w:val="0"/>
        <w:adjustRightInd/>
        <w:snapToGrid w:val="0"/>
        <w:spacing w:line="400" w:lineRule="exact"/>
        <w:ind w:left="0" w:leftChars="0" w:firstLine="425" w:firstLineChars="0"/>
        <w:textAlignment w:val="auto"/>
        <w:outlineLvl w:val="9"/>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本项目是否专门面向中小企业采购：否。</w:t>
      </w:r>
    </w:p>
    <w:p>
      <w:pPr>
        <w:pStyle w:val="2"/>
        <w:keepNext w:val="0"/>
        <w:keepLines w:val="0"/>
        <w:pageBreakBefore w:val="0"/>
        <w:widowControl w:val="0"/>
        <w:kinsoku/>
        <w:wordWrap/>
        <w:overflowPunct/>
        <w:topLinePunct w:val="0"/>
        <w:autoSpaceDE/>
        <w:autoSpaceDN/>
        <w:bidi w:val="0"/>
        <w:snapToGrid w:val="0"/>
        <w:spacing w:line="400" w:lineRule="exact"/>
        <w:ind w:firstLine="400"/>
        <w:textAlignment w:val="auto"/>
        <w:outlineLvl w:val="9"/>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lang w:val="zh-CN"/>
        </w:rPr>
        <w:t xml:space="preserve"> 注：“信用中国（www.creditchina.gov.cn)”、“中国政府采购网（www.ccgp.gov.cn）”以及“深圳市政府采购监管网（http://zfcg.sz.gov.cn/</w:t>
      </w:r>
      <w:bookmarkStart w:id="0" w:name="_GoBack"/>
      <w:bookmarkEnd w:id="0"/>
      <w:r>
        <w:rPr>
          <w:rFonts w:hint="eastAsia" w:ascii="宋体" w:hAnsi="宋体" w:eastAsia="宋体" w:cs="宋体"/>
          <w:snapToGrid w:val="0"/>
          <w:color w:val="auto"/>
          <w:sz w:val="24"/>
          <w:szCs w:val="24"/>
          <w:highlight w:val="none"/>
          <w:lang w:val="zh-CN"/>
        </w:rPr>
        <w:t>)”为供应商信用信息的查询渠道，相关信息以中标通知书发出前的查询结果为准。</w:t>
      </w:r>
    </w:p>
    <w:p>
      <w:pPr>
        <w:keepNext w:val="0"/>
        <w:keepLines w:val="0"/>
        <w:pageBreakBefore w:val="0"/>
        <w:kinsoku/>
        <w:wordWrap/>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 获取招标文件</w:t>
      </w:r>
    </w:p>
    <w:p>
      <w:pPr>
        <w:pStyle w:val="10"/>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rPr>
        <w:t>日起至202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rPr>
        <w:t>日止,上午9:00-11:30,下午14:00-17:00（公休日及节假日除外，招标文件中时间均为北京时间）；</w:t>
      </w:r>
    </w:p>
    <w:p>
      <w:pPr>
        <w:pStyle w:val="10"/>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地点：深圳市福田区福田体育公园西北角友和招标代理服务中心（靠近北门）；</w:t>
      </w:r>
    </w:p>
    <w:p>
      <w:pPr>
        <w:pStyle w:val="10"/>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报名方式：线上报名，具体操作请登录“友和招标代理服务网”（网址：http://yhzb.uho.cn/）的“重要通知”中查看《关于采用线上报名方式的通知》；</w:t>
      </w:r>
    </w:p>
    <w:p>
      <w:pPr>
        <w:pStyle w:val="10"/>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售价：本招标文件每套售价人民币600元，售后不退；如需邮寄，均以“到付”为邮寄费的付费方式。</w:t>
      </w:r>
    </w:p>
    <w:p>
      <w:pPr>
        <w:pStyle w:val="10"/>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招标文件售卖咨询电话：0755-83881111</w:t>
      </w:r>
    </w:p>
    <w:p>
      <w:pPr>
        <w:pStyle w:val="10"/>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购买招标文件所需资料：</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（1）法定代表人证明书原件及身份证扫描件（加盖公章）；</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（2）法定代表人授权委托书原件及被授权人身份证扫描件（加盖公章）；</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（3）上述“二、申请人的资格要求”中第</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项证明文件。</w:t>
      </w:r>
    </w:p>
    <w:p>
      <w:pPr>
        <w:keepNext w:val="0"/>
        <w:keepLines w:val="0"/>
        <w:pageBreakBefore w:val="0"/>
        <w:widowControl/>
        <w:kinsoku/>
        <w:wordWrap/>
        <w:overflowPunct/>
        <w:topLinePunct w:val="0"/>
        <w:autoSpaceDE/>
        <w:autoSpaceDN/>
        <w:bidi w:val="0"/>
        <w:adjustRightInd/>
        <w:snapToGrid w:val="0"/>
        <w:spacing w:line="400" w:lineRule="exact"/>
        <w:ind w:firstLine="481" w:firstLineChars="200"/>
        <w:jc w:val="left"/>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温馨提示：</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1.以上材料投标时需</w:t>
      </w:r>
      <w:r>
        <w:rPr>
          <w:rFonts w:hint="eastAsia" w:ascii="宋体" w:hAnsi="宋体" w:eastAsia="宋体" w:cs="宋体"/>
          <w:color w:val="auto"/>
          <w:kern w:val="0"/>
          <w:sz w:val="24"/>
          <w:szCs w:val="24"/>
          <w:highlight w:val="none"/>
          <w:lang w:eastAsia="zh-CN"/>
        </w:rPr>
        <w:t>同时</w:t>
      </w:r>
      <w:r>
        <w:rPr>
          <w:rFonts w:hint="eastAsia" w:ascii="宋体" w:hAnsi="宋体" w:eastAsia="宋体" w:cs="宋体"/>
          <w:color w:val="auto"/>
          <w:kern w:val="0"/>
          <w:sz w:val="24"/>
          <w:szCs w:val="24"/>
          <w:highlight w:val="none"/>
        </w:rPr>
        <w:t>放入投标文件中作为资格审查材料，投标时若未提供将作无效投标处理。</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2.投标报名审核通过后，招标文件电子版将通过邮箱（uhocai@163.com）发送到投标报名表上填写的邮箱中。</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四、提交投标文件截止时间、 开标时间和地点</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文件时间：</w:t>
      </w:r>
      <w:r>
        <w:rPr>
          <w:rFonts w:hint="eastAsia" w:ascii="宋体" w:hAnsi="宋体" w:eastAsia="宋体" w:cs="宋体"/>
          <w:color w:val="auto"/>
          <w:sz w:val="24"/>
          <w:szCs w:val="24"/>
          <w:highlight w:val="none"/>
          <w:lang w:val="en-US" w:eastAsia="zh-CN"/>
        </w:rPr>
        <w:t>2022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29</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:00:00-</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:30:00</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投标截止</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val="en-US" w:eastAsia="zh-CN"/>
        </w:rPr>
        <w:t>2022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29</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分00秒（北京时间）</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开标时间：2022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分00秒（北京时间）</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宋体" w:hAnsi="宋体" w:eastAsia="宋体" w:cs="宋体"/>
          <w:snapToGrid w:val="0"/>
          <w:color w:val="auto"/>
          <w:sz w:val="24"/>
          <w:szCs w:val="24"/>
          <w:highlight w:val="none"/>
          <w:lang w:val="zh-CN" w:eastAsia="zh-CN"/>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eastAsia="zh-CN"/>
        </w:rPr>
        <w:t>深圳市福田区福田体育公园西北角友和招标代理服务中心（靠近北门）</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 公告期限</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自本公告发布之日起 5 个工作日。</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 其他补充事宜：</w:t>
      </w:r>
    </w:p>
    <w:p>
      <w:pPr>
        <w:pStyle w:val="11"/>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left="0" w:firstLine="422"/>
        <w:jc w:val="left"/>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澄清及答疑事项：</w:t>
      </w:r>
    </w:p>
    <w:p>
      <w:pPr>
        <w:pStyle w:val="2"/>
        <w:keepNext w:val="0"/>
        <w:keepLines w:val="0"/>
        <w:pageBreakBefore w:val="0"/>
        <w:widowControl w:val="0"/>
        <w:kinsoku/>
        <w:wordWrap/>
        <w:overflowPunct/>
        <w:topLinePunct w:val="0"/>
        <w:autoSpaceDE/>
        <w:autoSpaceDN/>
        <w:bidi w:val="0"/>
        <w:snapToGrid w:val="0"/>
        <w:spacing w:line="400" w:lineRule="exact"/>
        <w:ind w:firstLine="400"/>
        <w:textAlignment w:val="auto"/>
        <w:outlineLvl w:val="9"/>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lang w:val="zh-CN"/>
        </w:rPr>
        <w:t>投标人要求采购人对招标文件进行澄清的，请于投标截止日五日前，以书面形式加盖单位公章邮件或送达招标代理机构，邮件须电话确认，逾期不予受理。对招标文件进行澄清或者修改的，招标代理机构在投标截止日三日前通知所有已收受招标文件或者已响应招标的供应商。对招标文件的任何澄清或者修改，以招标代理机构发出的通知为准。</w:t>
      </w:r>
    </w:p>
    <w:p>
      <w:pPr>
        <w:pStyle w:val="11"/>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left="0" w:firstLine="42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重要提示：</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投标人有义务在招标活动期间浏览下述“相关项目信息查询网址”中各网站信息，招标人在相关网站上公布的与本次招标项目有关的信息视为已送达各投标人。招标人恕不再行电话通知各投标人。</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七、对本次招标提出询问， 请按以下方式联系。</w:t>
      </w:r>
    </w:p>
    <w:p>
      <w:pPr>
        <w:pStyle w:val="10"/>
        <w:keepNext w:val="0"/>
        <w:keepLines w:val="0"/>
        <w:pageBreakBefore w:val="0"/>
        <w:widowControl w:val="0"/>
        <w:numPr>
          <w:ilvl w:val="0"/>
          <w:numId w:val="4"/>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采购人信息</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名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称：</w:t>
      </w:r>
      <w:r>
        <w:rPr>
          <w:rFonts w:hint="eastAsia" w:ascii="宋体" w:hAnsi="宋体" w:eastAsia="宋体" w:cs="宋体"/>
          <w:color w:val="auto"/>
          <w:sz w:val="24"/>
          <w:szCs w:val="24"/>
          <w:highlight w:val="none"/>
          <w:lang w:val="en-US" w:eastAsia="zh-CN"/>
        </w:rPr>
        <w:t>深圳市居民家庭经济状况核对中心</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地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w:t>
      </w:r>
      <w:r>
        <w:rPr>
          <w:rFonts w:hint="eastAsia" w:ascii="宋体" w:hAnsi="宋体" w:eastAsia="宋体" w:cs="宋体"/>
          <w:color w:val="auto"/>
          <w:sz w:val="24"/>
          <w:szCs w:val="24"/>
          <w:highlight w:val="none"/>
          <w:lang w:val="en-US" w:eastAsia="zh-CN"/>
        </w:rPr>
        <w:t>深圳市罗湖区中民时代广场A座13楼</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系</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u w:val="none"/>
          <w:lang w:eastAsia="zh-CN"/>
        </w:rPr>
        <w:t>赵小姐</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none"/>
        </w:rPr>
        <w:t>0755-86719453</w:t>
      </w:r>
    </w:p>
    <w:p>
      <w:pPr>
        <w:pStyle w:val="10"/>
        <w:keepNext w:val="0"/>
        <w:keepLines w:val="0"/>
        <w:pageBreakBefore w:val="0"/>
        <w:widowControl w:val="0"/>
        <w:numPr>
          <w:ilvl w:val="0"/>
          <w:numId w:val="4"/>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采购代理机构信息</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名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称：</w:t>
      </w:r>
      <w:r>
        <w:rPr>
          <w:rFonts w:hint="eastAsia" w:ascii="宋体" w:hAnsi="宋体" w:eastAsia="宋体" w:cs="宋体"/>
          <w:color w:val="auto"/>
          <w:sz w:val="24"/>
          <w:szCs w:val="24"/>
          <w:highlight w:val="none"/>
          <w:u w:val="single"/>
        </w:rPr>
        <w:t>友和保险经纪有限公司</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址：深圳市福田区福田体育公园西北角友和招标代理服务中心（靠近北门）</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联系方式：0755-83881281                     </w:t>
      </w:r>
    </w:p>
    <w:p>
      <w:pPr>
        <w:pStyle w:val="10"/>
        <w:keepNext w:val="0"/>
        <w:keepLines w:val="0"/>
        <w:pageBreakBefore w:val="0"/>
        <w:widowControl w:val="0"/>
        <w:numPr>
          <w:ilvl w:val="0"/>
          <w:numId w:val="4"/>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lang w:val="en-US" w:eastAsia="zh-CN"/>
        </w:rPr>
        <w:t>朴工</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color w:val="auto"/>
          <w:sz w:val="24"/>
          <w:highlight w:val="none"/>
          <w:u w:val="single"/>
          <w:lang w:val="en-US" w:eastAsia="zh-CN"/>
        </w:rPr>
        <w:t>755-83889026</w:t>
      </w:r>
    </w:p>
    <w:p>
      <w:pPr>
        <w:pStyle w:val="10"/>
        <w:keepNext w:val="0"/>
        <w:keepLines w:val="0"/>
        <w:pageBreakBefore w:val="0"/>
        <w:widowControl w:val="0"/>
        <w:numPr>
          <w:ilvl w:val="0"/>
          <w:numId w:val="4"/>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相关项目信息查询网址</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深圳公共资源交易中心（深圳交易集团有限公司政府采购业务分公司）</w:t>
      </w:r>
      <w:r>
        <w:rPr>
          <w:rFonts w:hint="eastAsia" w:ascii="宋体" w:hAnsi="宋体" w:eastAsia="宋体" w:cs="宋体"/>
          <w:color w:val="auto"/>
          <w:sz w:val="24"/>
          <w:szCs w:val="24"/>
          <w:highlight w:val="none"/>
          <w:u w:val="single"/>
        </w:rPr>
        <w:t>http://www.szggzy.com/</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友和招标代理服务网 http://yhzb.uho.cn/</w:t>
      </w:r>
    </w:p>
    <w:p>
      <w:pPr>
        <w:keepNext w:val="0"/>
        <w:keepLines w:val="0"/>
        <w:pageBreakBefore w:val="0"/>
        <w:kinsoku/>
        <w:wordWrap/>
        <w:overflowPunct/>
        <w:topLinePunct w:val="0"/>
        <w:autoSpaceDE/>
        <w:autoSpaceDN/>
        <w:bidi w:val="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八、银行账户信息</w:t>
      </w:r>
    </w:p>
    <w:tbl>
      <w:tblPr>
        <w:tblStyle w:val="8"/>
        <w:tblW w:w="740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70"/>
        <w:gridCol w:w="54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403" w:type="dxa"/>
            <w:gridSpan w:val="2"/>
            <w:tcBorders>
              <w:top w:val="double" w:color="auto" w:sz="4" w:space="0"/>
              <w:left w:val="double" w:color="auto" w:sz="4" w:space="0"/>
              <w:bottom w:val="single" w:color="auto" w:sz="6" w:space="0"/>
              <w:right w:val="double" w:color="auto" w:sz="4" w:space="0"/>
            </w:tcBorders>
            <w:vAlign w:val="center"/>
          </w:tcPr>
          <w:p>
            <w:pPr>
              <w:pStyle w:val="12"/>
              <w:keepNext w:val="0"/>
              <w:keepLines w:val="0"/>
              <w:pageBreakBefore w:val="0"/>
              <w:kinsoku/>
              <w:wordWrap/>
              <w:overflowPunct/>
              <w:topLinePunct w:val="0"/>
              <w:autoSpaceDE/>
              <w:autoSpaceDN/>
              <w:bidi w:val="0"/>
              <w:spacing w:line="276" w:lineRule="auto"/>
              <w:ind w:left="0" w:lef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缴费银行账户信息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70" w:type="dxa"/>
            <w:tcBorders>
              <w:top w:val="single" w:color="C0C0C0" w:sz="6" w:space="0"/>
              <w:left w:val="double" w:color="auto" w:sz="4" w:space="0"/>
              <w:bottom w:val="single" w:color="C0C0C0" w:sz="6" w:space="0"/>
              <w:right w:val="single" w:color="C0C0C0" w:sz="6" w:space="0"/>
            </w:tcBorders>
            <w:vAlign w:val="center"/>
          </w:tcPr>
          <w:p>
            <w:pPr>
              <w:pStyle w:val="12"/>
              <w:keepNext w:val="0"/>
              <w:keepLines w:val="0"/>
              <w:pageBreakBefore w:val="0"/>
              <w:kinsoku/>
              <w:wordWrap/>
              <w:overflowPunct/>
              <w:topLinePunct w:val="0"/>
              <w:autoSpaceDE/>
              <w:autoSpaceDN/>
              <w:bidi w:val="0"/>
              <w:spacing w:line="276" w:lineRule="auto"/>
              <w:ind w:firstLine="42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5433" w:type="dxa"/>
            <w:tcBorders>
              <w:top w:val="single" w:color="C0C0C0" w:sz="6" w:space="0"/>
              <w:left w:val="single" w:color="C0C0C0" w:sz="6" w:space="0"/>
              <w:bottom w:val="single" w:color="C0C0C0" w:sz="6" w:space="0"/>
              <w:right w:val="double" w:color="auto" w:sz="4" w:space="0"/>
            </w:tcBorders>
            <w:vAlign w:val="center"/>
          </w:tcPr>
          <w:p>
            <w:pPr>
              <w:pStyle w:val="12"/>
              <w:keepNext w:val="0"/>
              <w:keepLines w:val="0"/>
              <w:pageBreakBefore w:val="0"/>
              <w:kinsoku/>
              <w:wordWrap/>
              <w:overflowPunct/>
              <w:topLinePunct w:val="0"/>
              <w:autoSpaceDE/>
              <w:autoSpaceDN/>
              <w:bidi w:val="0"/>
              <w:spacing w:line="276" w:lineRule="auto"/>
              <w:ind w:firstLine="42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中国民生银行深圳分行福田支行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70" w:type="dxa"/>
            <w:tcBorders>
              <w:top w:val="single" w:color="C0C0C0" w:sz="6" w:space="0"/>
              <w:left w:val="double" w:color="auto" w:sz="4" w:space="0"/>
              <w:bottom w:val="single" w:color="C0C0C0" w:sz="6" w:space="0"/>
              <w:right w:val="single" w:color="C0C0C0" w:sz="6" w:space="0"/>
            </w:tcBorders>
            <w:vAlign w:val="center"/>
          </w:tcPr>
          <w:p>
            <w:pPr>
              <w:pStyle w:val="12"/>
              <w:keepNext w:val="0"/>
              <w:keepLines w:val="0"/>
              <w:pageBreakBefore w:val="0"/>
              <w:kinsoku/>
              <w:wordWrap/>
              <w:overflowPunct/>
              <w:topLinePunct w:val="0"/>
              <w:autoSpaceDE/>
              <w:autoSpaceDN/>
              <w:bidi w:val="0"/>
              <w:spacing w:line="276" w:lineRule="auto"/>
              <w:ind w:firstLine="42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收款单位</w:t>
            </w:r>
          </w:p>
        </w:tc>
        <w:tc>
          <w:tcPr>
            <w:tcW w:w="5433" w:type="dxa"/>
            <w:tcBorders>
              <w:top w:val="single" w:color="C0C0C0" w:sz="6" w:space="0"/>
              <w:left w:val="single" w:color="C0C0C0" w:sz="6" w:space="0"/>
              <w:bottom w:val="single" w:color="C0C0C0" w:sz="6" w:space="0"/>
              <w:right w:val="double" w:color="auto" w:sz="4" w:space="0"/>
            </w:tcBorders>
            <w:vAlign w:val="center"/>
          </w:tcPr>
          <w:p>
            <w:pPr>
              <w:pStyle w:val="12"/>
              <w:keepNext w:val="0"/>
              <w:keepLines w:val="0"/>
              <w:pageBreakBefore w:val="0"/>
              <w:kinsoku/>
              <w:wordWrap/>
              <w:overflowPunct/>
              <w:topLinePunct w:val="0"/>
              <w:autoSpaceDE/>
              <w:autoSpaceDN/>
              <w:bidi w:val="0"/>
              <w:spacing w:line="276" w:lineRule="auto"/>
              <w:ind w:firstLine="42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友和保险经纪有限公司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70" w:type="dxa"/>
            <w:tcBorders>
              <w:top w:val="single" w:color="C0C0C0" w:sz="6" w:space="0"/>
              <w:left w:val="double" w:color="auto" w:sz="4" w:space="0"/>
              <w:bottom w:val="double" w:color="auto" w:sz="4" w:space="0"/>
              <w:right w:val="single" w:color="C0C0C0" w:sz="6" w:space="0"/>
            </w:tcBorders>
            <w:vAlign w:val="center"/>
          </w:tcPr>
          <w:p>
            <w:pPr>
              <w:pStyle w:val="12"/>
              <w:keepNext w:val="0"/>
              <w:keepLines w:val="0"/>
              <w:pageBreakBefore w:val="0"/>
              <w:kinsoku/>
              <w:wordWrap/>
              <w:overflowPunct/>
              <w:topLinePunct w:val="0"/>
              <w:autoSpaceDE/>
              <w:autoSpaceDN/>
              <w:bidi w:val="0"/>
              <w:spacing w:line="276" w:lineRule="auto"/>
              <w:ind w:firstLine="42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w:t>
            </w:r>
          </w:p>
        </w:tc>
        <w:tc>
          <w:tcPr>
            <w:tcW w:w="5433" w:type="dxa"/>
            <w:tcBorders>
              <w:top w:val="single" w:color="C0C0C0" w:sz="6" w:space="0"/>
              <w:left w:val="single" w:color="C0C0C0" w:sz="6" w:space="0"/>
              <w:bottom w:val="double" w:color="auto" w:sz="4" w:space="0"/>
              <w:right w:val="double" w:color="auto" w:sz="4" w:space="0"/>
            </w:tcBorders>
            <w:vAlign w:val="center"/>
          </w:tcPr>
          <w:p>
            <w:pPr>
              <w:pStyle w:val="12"/>
              <w:keepNext w:val="0"/>
              <w:keepLines w:val="0"/>
              <w:pageBreakBefore w:val="0"/>
              <w:kinsoku/>
              <w:wordWrap/>
              <w:overflowPunct/>
              <w:topLinePunct w:val="0"/>
              <w:autoSpaceDE/>
              <w:autoSpaceDN/>
              <w:bidi w:val="0"/>
              <w:spacing w:line="276" w:lineRule="auto"/>
              <w:ind w:firstLine="42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1806014170017592</w:t>
            </w:r>
          </w:p>
        </w:tc>
      </w:tr>
    </w:tbl>
    <w:p>
      <w:pPr>
        <w:pStyle w:val="13"/>
        <w:keepNext w:val="0"/>
        <w:keepLines w:val="0"/>
        <w:pageBreakBefore w:val="0"/>
        <w:kinsoku/>
        <w:wordWrap/>
        <w:overflowPunct/>
        <w:topLinePunct w:val="0"/>
        <w:autoSpaceDE/>
        <w:autoSpaceDN/>
        <w:bidi w:val="0"/>
        <w:textAlignment w:val="auto"/>
        <w:outlineLvl w:val="9"/>
        <w:rPr>
          <w:rFonts w:hint="eastAsia" w:ascii="宋体" w:hAnsi="宋体" w:eastAsia="宋体" w:cs="宋体"/>
          <w:color w:val="auto"/>
          <w:szCs w:val="21"/>
          <w:highlight w:val="none"/>
        </w:rPr>
      </w:pPr>
    </w:p>
    <w:p>
      <w:pPr>
        <w:pStyle w:val="13"/>
        <w:keepNext w:val="0"/>
        <w:keepLines w:val="0"/>
        <w:pageBreakBefore w:val="0"/>
        <w:kinsoku/>
        <w:wordWrap/>
        <w:overflowPunct/>
        <w:topLinePunct w:val="0"/>
        <w:autoSpaceDE/>
        <w:autoSpaceDN/>
        <w:bidi w:val="0"/>
        <w:textAlignment w:val="auto"/>
        <w:outlineLvl w:val="9"/>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righ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友和保险经纪有限公司</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righ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隶书">
    <w:altName w:val="方正隶书_GBK"/>
    <w:panose1 w:val="0201050906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7D4F1D"/>
    <w:multiLevelType w:val="multilevel"/>
    <w:tmpl w:val="227D4F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1E7D63"/>
    <w:multiLevelType w:val="multilevel"/>
    <w:tmpl w:val="391E7D6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EC7847B"/>
    <w:multiLevelType w:val="multilevel"/>
    <w:tmpl w:val="3EC7847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A77718C"/>
    <w:multiLevelType w:val="singleLevel"/>
    <w:tmpl w:val="6A77718C"/>
    <w:lvl w:ilvl="0" w:tentative="0">
      <w:start w:val="1"/>
      <w:numFmt w:val="decimal"/>
      <w:lvlText w:val="%1."/>
      <w:lvlJc w:val="left"/>
      <w:pPr>
        <w:ind w:left="425" w:hanging="425"/>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2YzRiYjY2MTI2ODc2NDJjODQ5NTZiNzM1ZjlmYjEifQ=="/>
  </w:docVars>
  <w:rsids>
    <w:rsidRoot w:val="6C9A6FD2"/>
    <w:rsid w:val="0FDF4E63"/>
    <w:rsid w:val="6C9A6FD2"/>
    <w:rsid w:val="7FFF97DE"/>
    <w:rsid w:val="D6FC7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6"/>
    <w:next w:val="7"/>
    <w:qFormat/>
    <w:uiPriority w:val="0"/>
    <w:pPr>
      <w:keepNext/>
      <w:keepLines/>
      <w:spacing w:before="260" w:after="260" w:line="416" w:lineRule="auto"/>
      <w:outlineLvl w:val="1"/>
    </w:pPr>
    <w:rPr>
      <w:rFonts w:ascii="Arial" w:hAnsi="Arial" w:eastAsia="黑体"/>
      <w:sz w:val="32"/>
      <w:szCs w:val="32"/>
    </w:rPr>
  </w:style>
  <w:style w:type="paragraph" w:styleId="6">
    <w:name w:val="heading 3"/>
    <w:basedOn w:val="7"/>
    <w:next w:val="1"/>
    <w:qFormat/>
    <w:uiPriority w:val="0"/>
    <w:pPr>
      <w:spacing w:before="260" w:after="260" w:line="416" w:lineRule="auto"/>
      <w:outlineLvl w:val="2"/>
    </w:pPr>
    <w:rPr>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kern w:val="0"/>
      <w:sz w:val="20"/>
    </w:rPr>
  </w:style>
  <w:style w:type="paragraph" w:styleId="3">
    <w:name w:val="Body Text"/>
    <w:basedOn w:val="1"/>
    <w:next w:val="4"/>
    <w:qFormat/>
    <w:uiPriority w:val="0"/>
    <w:pPr>
      <w:spacing w:after="120"/>
    </w:pPr>
  </w:style>
  <w:style w:type="paragraph" w:styleId="4">
    <w:name w:val="Title"/>
    <w:basedOn w:val="1"/>
    <w:next w:val="1"/>
    <w:qFormat/>
    <w:uiPriority w:val="0"/>
    <w:pPr>
      <w:spacing w:before="240" w:after="60"/>
      <w:jc w:val="center"/>
      <w:outlineLvl w:val="0"/>
    </w:pPr>
    <w:rPr>
      <w:rFonts w:ascii="Arial" w:hAnsi="Arial" w:eastAsia="隶书" w:cs="Arial"/>
      <w:b/>
      <w:bCs/>
      <w:sz w:val="32"/>
      <w:szCs w:val="32"/>
    </w:rPr>
  </w:style>
  <w:style w:type="paragraph" w:customStyle="1" w:styleId="10">
    <w:name w:val="彩色列表 - 强调文字颜色 111"/>
    <w:basedOn w:val="1"/>
    <w:qFormat/>
    <w:uiPriority w:val="0"/>
    <w:pPr>
      <w:ind w:firstLine="420" w:firstLineChars="200"/>
    </w:pPr>
  </w:style>
  <w:style w:type="paragraph" w:styleId="11">
    <w:name w:val="List Paragraph"/>
    <w:basedOn w:val="1"/>
    <w:unhideWhenUsed/>
    <w:qFormat/>
    <w:uiPriority w:val="99"/>
    <w:pPr>
      <w:ind w:firstLine="420" w:firstLineChars="200"/>
    </w:pPr>
  </w:style>
  <w:style w:type="paragraph" w:customStyle="1" w:styleId="12">
    <w:name w:val="*正文"/>
    <w:basedOn w:val="1"/>
    <w:qFormat/>
    <w:uiPriority w:val="0"/>
    <w:pPr>
      <w:spacing w:line="360" w:lineRule="auto"/>
      <w:ind w:firstLine="200" w:firstLineChars="200"/>
    </w:pPr>
    <w:rPr>
      <w:rFonts w:ascii="宋体" w:hAnsi="宋体"/>
      <w:kern w:val="0"/>
      <w:sz w:val="22"/>
    </w:rPr>
  </w:style>
  <w:style w:type="paragraph" w:customStyle="1" w:styleId="13">
    <w:name w:val="文档正文"/>
    <w:basedOn w:val="1"/>
    <w:qFormat/>
    <w:uiPriority w:val="0"/>
    <w:pPr>
      <w:spacing w:line="360" w:lineRule="auto"/>
      <w:ind w:firstLine="480" w:firstLineChars="200"/>
    </w:pPr>
    <w:rPr>
      <w:rFonts w:ascii="宋体" w:hAnsi="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1960</Words>
  <Characters>2252</Characters>
  <Lines>0</Lines>
  <Paragraphs>0</Paragraphs>
  <TotalTime>1</TotalTime>
  <ScaleCrop>false</ScaleCrop>
  <LinksUpToDate>false</LinksUpToDate>
  <CharactersWithSpaces>2311</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2022-11-18T00:04:00Z</dcterms:created>
  <dc:creator>WPS_1507534121</dc:creator>
  <cp:lastModifiedBy>郑锦婷</cp:lastModifiedBy>
  <dcterms:modified xsi:type="dcterms:W3CDTF">2023-05-29T16:45:47Z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7F747ADD23B441A6AF2B18AE0BB7D7D6</vt:lpwstr>
  </property>
</Properties>
</file>