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eastAsia="宋体" w:cs="宋体"/>
          <w:b/>
          <w:bCs/>
          <w:color w:val="auto"/>
          <w:highlight w:val="none"/>
        </w:rPr>
      </w:pPr>
      <w:bookmarkStart w:id="0" w:name="_Toc26199"/>
      <w:bookmarkStart w:id="1" w:name="_Toc19835"/>
      <w:bookmarkStart w:id="2" w:name="_Toc34238554"/>
      <w:r>
        <w:rPr>
          <w:rFonts w:hint="eastAsia" w:ascii="宋体" w:hAnsi="宋体" w:eastAsia="宋体" w:cs="宋体"/>
          <w:b/>
          <w:bCs/>
          <w:color w:val="auto"/>
          <w:highlight w:val="none"/>
        </w:rPr>
        <w:t>深圳市居民家庭经济状况核对中心关于鹏城慈善创益空间运营项目招标公告</w:t>
      </w:r>
      <w:bookmarkEnd w:id="0"/>
      <w:bookmarkEnd w:id="1"/>
      <w:bookmarkEnd w:id="2"/>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spacing w:line="400" w:lineRule="exact"/>
              <w:ind w:firstLine="480" w:firstLineChars="200"/>
              <w:rPr>
                <w:rFonts w:hint="eastAsia" w:ascii="宋体" w:hAnsi="宋体" w:eastAsia="宋体" w:cs="宋体"/>
                <w:color w:val="auto"/>
                <w:szCs w:val="21"/>
                <w:highlight w:val="none"/>
              </w:rPr>
            </w:pPr>
            <w:r>
              <w:rPr>
                <w:rFonts w:hint="eastAsia" w:ascii="宋体" w:hAnsi="宋体" w:cs="宋体"/>
                <w:color w:val="auto"/>
                <w:sz w:val="24"/>
                <w:highlight w:val="none"/>
                <w:u w:val="single"/>
                <w:lang w:eastAsia="zh-CN"/>
              </w:rPr>
              <w:t>鹏城慈善创益空间运营项目</w:t>
            </w:r>
            <w:r>
              <w:rPr>
                <w:rFonts w:hint="eastAsia" w:ascii="宋体" w:hAnsi="宋体" w:eastAsia="宋体" w:cs="宋体"/>
                <w:color w:val="auto"/>
                <w:sz w:val="24"/>
                <w:highlight w:val="none"/>
              </w:rPr>
              <w:t>的潜在投标人应在</w:t>
            </w:r>
            <w:r>
              <w:rPr>
                <w:rFonts w:hint="eastAsia" w:ascii="宋体" w:hAnsi="宋体" w:eastAsia="宋体" w:cs="宋体"/>
                <w:color w:val="auto"/>
                <w:sz w:val="24"/>
                <w:highlight w:val="none"/>
                <w:u w:val="single"/>
              </w:rPr>
              <w:t>友和保险经纪有限公司</w:t>
            </w:r>
            <w:r>
              <w:rPr>
                <w:rFonts w:hint="eastAsia" w:ascii="宋体" w:hAnsi="宋体" w:eastAsia="宋体" w:cs="宋体"/>
                <w:color w:val="auto"/>
                <w:sz w:val="24"/>
                <w:highlight w:val="none"/>
              </w:rPr>
              <w:t>获取招标文件，并于</w:t>
            </w:r>
            <w:r>
              <w:rPr>
                <w:rFonts w:hint="eastAsia" w:ascii="宋体" w:hAnsi="宋体" w:eastAsia="宋体" w:cs="宋体"/>
                <w:color w:val="auto"/>
                <w:sz w:val="24"/>
                <w:highlight w:val="none"/>
                <w:u w:val="single"/>
              </w:rPr>
              <w:t>2022年</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（北京时间）前递交投标文件。</w:t>
            </w:r>
          </w:p>
        </w:tc>
      </w:tr>
    </w:tbl>
    <w:p>
      <w:pPr>
        <w:adjustRightInd w:val="0"/>
        <w:snapToGrid w:val="0"/>
        <w:spacing w:line="360" w:lineRule="auto"/>
        <w:jc w:val="left"/>
        <w:rPr>
          <w:rFonts w:hint="eastAsia" w:ascii="宋体" w:hAnsi="宋体" w:eastAsia="宋体" w:cs="宋体"/>
          <w:color w:val="auto"/>
          <w:szCs w:val="21"/>
          <w:highlight w:val="none"/>
        </w:rPr>
      </w:pP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 项目基本情况</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项目编</w:t>
      </w:r>
      <w:r>
        <w:rPr>
          <w:rFonts w:hint="eastAsia" w:ascii="宋体" w:hAnsi="宋体" w:eastAsia="宋体" w:cs="宋体"/>
          <w:bCs/>
          <w:color w:val="auto"/>
          <w:sz w:val="24"/>
          <w:highlight w:val="none"/>
        </w:rPr>
        <w:t>号：</w:t>
      </w:r>
      <w:r>
        <w:rPr>
          <w:rFonts w:hint="eastAsia" w:ascii="宋体" w:hAnsi="宋体" w:cs="宋体"/>
          <w:bCs/>
          <w:color w:val="auto"/>
          <w:sz w:val="24"/>
          <w:highlight w:val="none"/>
          <w:lang w:val="en-US" w:eastAsia="zh-CN"/>
        </w:rPr>
        <w:t>UHOSZC20220738</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u w:val="single"/>
          <w:lang w:eastAsia="zh-CN"/>
        </w:rPr>
        <w:t>鹏城慈善创益空间运营项目</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项目预算</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450,000.00</w:t>
      </w:r>
      <w:r>
        <w:rPr>
          <w:rFonts w:hint="eastAsia" w:ascii="宋体" w:hAnsi="宋体" w:eastAsia="宋体" w:cs="宋体"/>
          <w:color w:val="auto"/>
          <w:sz w:val="24"/>
          <w:highlight w:val="none"/>
        </w:rPr>
        <w:t>元</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最高限价</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450,000.00</w:t>
      </w:r>
      <w:r>
        <w:rPr>
          <w:rFonts w:hint="eastAsia" w:ascii="宋体" w:hAnsi="宋体" w:eastAsia="宋体" w:cs="宋体"/>
          <w:color w:val="auto"/>
          <w:sz w:val="24"/>
          <w:highlight w:val="none"/>
          <w:lang w:val="en-US" w:eastAsia="zh-CN"/>
        </w:rPr>
        <w:t>元</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采购需求：详见招标文件。</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合同履行期限：详见招标文件。</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 申请人的资格要求：</w:t>
      </w:r>
    </w:p>
    <w:p>
      <w:pPr>
        <w:pStyle w:val="4"/>
        <w:keepNext w:val="0"/>
        <w:keepLines w:val="0"/>
        <w:pageBreakBefore w:val="0"/>
        <w:widowControl w:val="0"/>
        <w:kinsoku/>
        <w:wordWrap/>
        <w:overflowPunct/>
        <w:topLinePunct w:val="0"/>
        <w:autoSpaceDE/>
        <w:autoSpaceDN/>
        <w:bidi w:val="0"/>
        <w:snapToGrid w:val="0"/>
        <w:spacing w:line="400" w:lineRule="exact"/>
        <w:ind w:firstLine="400"/>
        <w:textAlignment w:val="auto"/>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1.投标人必须是具有独立法人资格或为具有独立承担民事责任能力的其它组织（提供在中华人民共和国境内注册的法人或其他组织的营业执照或事业单位法人证书或社会团体法人登记证书扫描件，原件备查）；</w:t>
      </w:r>
    </w:p>
    <w:p>
      <w:pPr>
        <w:pStyle w:val="4"/>
        <w:keepNext w:val="0"/>
        <w:keepLines w:val="0"/>
        <w:pageBreakBefore w:val="0"/>
        <w:widowControl w:val="0"/>
        <w:kinsoku/>
        <w:wordWrap/>
        <w:overflowPunct/>
        <w:topLinePunct w:val="0"/>
        <w:autoSpaceDE/>
        <w:autoSpaceDN/>
        <w:bidi w:val="0"/>
        <w:snapToGrid w:val="0"/>
        <w:spacing w:line="400" w:lineRule="exact"/>
        <w:ind w:firstLine="400"/>
        <w:textAlignment w:val="auto"/>
        <w:outlineLvl w:val="9"/>
        <w:rPr>
          <w:rFonts w:hint="eastAsia" w:ascii="宋体" w:hAnsi="宋体" w:eastAsia="宋体" w:cs="宋体"/>
          <w:snapToGrid w:val="0"/>
          <w:color w:val="auto"/>
          <w:sz w:val="24"/>
          <w:szCs w:val="24"/>
          <w:highlight w:val="none"/>
          <w:lang w:val="zh-CN" w:eastAsia="zh-CN"/>
        </w:rPr>
      </w:pPr>
      <w:r>
        <w:rPr>
          <w:rFonts w:hint="eastAsia" w:ascii="宋体" w:hAnsi="宋体" w:eastAsia="宋体" w:cs="宋体"/>
          <w:snapToGrid w:val="0"/>
          <w:color w:val="auto"/>
          <w:sz w:val="24"/>
          <w:szCs w:val="24"/>
          <w:highlight w:val="none"/>
          <w:lang w:val="zh-CN"/>
        </w:rPr>
        <w:t>2.投标人需具备民政部门颁发的公开募捐资格（①提供在有效期内的证书扫描件，如证书上未体现年检记录或有效期的，需同时提供发证机构官方网站显示的年检或有效期的截图作为证明材料；②如国家另有规定，则适用其规定，投标人提供相关证明材料，如有效的资质证书及相关政府部门的规定）</w:t>
      </w:r>
      <w:r>
        <w:rPr>
          <w:rFonts w:hint="eastAsia" w:ascii="宋体" w:hAnsi="宋体" w:cs="宋体"/>
          <w:snapToGrid w:val="0"/>
          <w:color w:val="auto"/>
          <w:sz w:val="24"/>
          <w:szCs w:val="24"/>
          <w:highlight w:val="none"/>
          <w:lang w:val="zh-CN" w:eastAsia="zh-CN"/>
        </w:rPr>
        <w:t>；</w:t>
      </w:r>
    </w:p>
    <w:p>
      <w:pPr>
        <w:pStyle w:val="4"/>
        <w:keepNext w:val="0"/>
        <w:keepLines w:val="0"/>
        <w:pageBreakBefore w:val="0"/>
        <w:widowControl w:val="0"/>
        <w:kinsoku/>
        <w:wordWrap/>
        <w:overflowPunct/>
        <w:topLinePunct w:val="0"/>
        <w:autoSpaceDE/>
        <w:autoSpaceDN/>
        <w:bidi w:val="0"/>
        <w:snapToGrid w:val="0"/>
        <w:spacing w:line="400" w:lineRule="exact"/>
        <w:ind w:firstLine="400"/>
        <w:textAlignment w:val="auto"/>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3.参与本项目政府采购活动时不存在被有关部门禁止参与政府采购活动且在有效期内的情况（由供应商在《政府采购投标及履约承诺函》中作出声明，加盖公章）；</w:t>
      </w:r>
    </w:p>
    <w:p>
      <w:pPr>
        <w:pStyle w:val="4"/>
        <w:keepNext w:val="0"/>
        <w:keepLines w:val="0"/>
        <w:pageBreakBefore w:val="0"/>
        <w:widowControl w:val="0"/>
        <w:kinsoku/>
        <w:wordWrap/>
        <w:overflowPunct/>
        <w:topLinePunct w:val="0"/>
        <w:autoSpaceDE/>
        <w:autoSpaceDN/>
        <w:bidi w:val="0"/>
        <w:snapToGrid w:val="0"/>
        <w:spacing w:line="400" w:lineRule="exact"/>
        <w:ind w:firstLine="400"/>
        <w:textAlignment w:val="auto"/>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4.具备《中华人民共和国政府采购法》第二十二条第一款的条件（由供应商在《政府采购投标及履约承诺函》中作出声明，加盖公章）；</w:t>
      </w:r>
    </w:p>
    <w:p>
      <w:pPr>
        <w:pStyle w:val="4"/>
        <w:keepNext w:val="0"/>
        <w:keepLines w:val="0"/>
        <w:pageBreakBefore w:val="0"/>
        <w:widowControl w:val="0"/>
        <w:kinsoku/>
        <w:wordWrap/>
        <w:overflowPunct/>
        <w:topLinePunct w:val="0"/>
        <w:autoSpaceDE/>
        <w:autoSpaceDN/>
        <w:bidi w:val="0"/>
        <w:snapToGrid w:val="0"/>
        <w:spacing w:line="400" w:lineRule="exact"/>
        <w:ind w:firstLine="400"/>
        <w:textAlignment w:val="auto"/>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5.未被列入失信被执行人、重大税收违法案件当事人名单（税收违法黑名单）、政府采购严重违法失信行为记录名单（由供应商在《政府采购投标及履约承诺函》中作出声明，加盖公章）；【注：采购代理机构将通过“信用中国”中“信用服务”栏的“重大税收违法案件当事人名单（税收违法黑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pPr>
        <w:pStyle w:val="4"/>
        <w:keepNext w:val="0"/>
        <w:keepLines w:val="0"/>
        <w:pageBreakBefore w:val="0"/>
        <w:widowControl w:val="0"/>
        <w:kinsoku/>
        <w:wordWrap/>
        <w:overflowPunct/>
        <w:topLinePunct w:val="0"/>
        <w:autoSpaceDE/>
        <w:autoSpaceDN/>
        <w:bidi w:val="0"/>
        <w:snapToGrid w:val="0"/>
        <w:spacing w:line="400" w:lineRule="exact"/>
        <w:ind w:firstLine="400"/>
        <w:textAlignment w:val="auto"/>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6.单位法定代表人（负责人）为同一人或者存在直接控股、管理关系的不同供应商，不得同时参加本项目投标（由供应商在《政府采购投标及履约承诺函》中作出声明，加盖公章）；</w:t>
      </w:r>
    </w:p>
    <w:p>
      <w:pPr>
        <w:pStyle w:val="4"/>
        <w:keepNext w:val="0"/>
        <w:keepLines w:val="0"/>
        <w:pageBreakBefore w:val="0"/>
        <w:widowControl w:val="0"/>
        <w:kinsoku/>
        <w:wordWrap/>
        <w:overflowPunct/>
        <w:topLinePunct w:val="0"/>
        <w:autoSpaceDE/>
        <w:autoSpaceDN/>
        <w:bidi w:val="0"/>
        <w:snapToGrid w:val="0"/>
        <w:spacing w:line="400" w:lineRule="exact"/>
        <w:ind w:firstLine="400"/>
        <w:textAlignment w:val="auto"/>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7.为本项目提供整体设计、规范编制或者项目管理、监理、检测等服务的供应商，不得参加本项目投标。（由供应商在《政府采购投标及履约承诺函》中作出声明，加盖公章）；</w:t>
      </w:r>
    </w:p>
    <w:p>
      <w:pPr>
        <w:pStyle w:val="4"/>
        <w:keepNext w:val="0"/>
        <w:keepLines w:val="0"/>
        <w:pageBreakBefore w:val="0"/>
        <w:widowControl w:val="0"/>
        <w:kinsoku/>
        <w:wordWrap/>
        <w:overflowPunct/>
        <w:topLinePunct w:val="0"/>
        <w:autoSpaceDE/>
        <w:autoSpaceDN/>
        <w:bidi w:val="0"/>
        <w:snapToGrid w:val="0"/>
        <w:spacing w:line="400" w:lineRule="exact"/>
        <w:ind w:firstLine="400"/>
        <w:textAlignment w:val="auto"/>
        <w:outlineLvl w:val="9"/>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zh-CN"/>
        </w:rPr>
        <w:t>8.本项目不接受联合体投标，不接受投标人选用进口产品参与投标，不允许转包分包（由供应商在《政府采购投标及履约承诺函》中作出声明，加盖公章）。</w:t>
      </w:r>
    </w:p>
    <w:p>
      <w:pPr>
        <w:pStyle w:val="4"/>
        <w:keepNext w:val="0"/>
        <w:keepLines w:val="0"/>
        <w:pageBreakBefore w:val="0"/>
        <w:widowControl w:val="0"/>
        <w:kinsoku/>
        <w:wordWrap/>
        <w:overflowPunct/>
        <w:topLinePunct w:val="0"/>
        <w:autoSpaceDE/>
        <w:autoSpaceDN/>
        <w:bidi w:val="0"/>
        <w:snapToGrid w:val="0"/>
        <w:spacing w:line="400" w:lineRule="exact"/>
        <w:ind w:firstLine="400"/>
        <w:textAlignment w:val="auto"/>
        <w:outlineLvl w:val="9"/>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9.本项目是否专门面向中小企业采购：否。</w:t>
      </w:r>
    </w:p>
    <w:p>
      <w:pPr>
        <w:pStyle w:val="4"/>
        <w:keepNext w:val="0"/>
        <w:keepLines w:val="0"/>
        <w:pageBreakBefore w:val="0"/>
        <w:widowControl w:val="0"/>
        <w:kinsoku/>
        <w:wordWrap/>
        <w:overflowPunct/>
        <w:topLinePunct w:val="0"/>
        <w:autoSpaceDE/>
        <w:autoSpaceDN/>
        <w:bidi w:val="0"/>
        <w:snapToGrid w:val="0"/>
        <w:spacing w:line="400" w:lineRule="exact"/>
        <w:ind w:firstLine="400"/>
        <w:textAlignment w:val="auto"/>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 xml:space="preserve"> 注：“信用中国（www.creditchina.gov.cn)”、“中国政府采购网（www.ccgp.gov.cn）”以及“深圳市政府采购监管网（http://zfcg.sz.gov.cn/</w:t>
      </w:r>
      <w:bookmarkStart w:id="3" w:name="_GoBack"/>
      <w:bookmarkEnd w:id="3"/>
      <w:r>
        <w:rPr>
          <w:rFonts w:hint="eastAsia" w:ascii="宋体" w:hAnsi="宋体" w:eastAsia="宋体" w:cs="宋体"/>
          <w:snapToGrid w:val="0"/>
          <w:color w:val="auto"/>
          <w:sz w:val="24"/>
          <w:szCs w:val="24"/>
          <w:highlight w:val="none"/>
          <w:lang w:val="zh-CN"/>
        </w:rPr>
        <w:t>)”为供应商信用信息的查询渠道，相关信息以中标通知书发出前的查询结果为准。</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 获取招标文件</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rPr>
        <w:t>日起至202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日止,上午9:00-11:30,下午14:00-17:00（公休日及节假日除外，招标文件中时间均为北京时间）；</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地点：深圳市福田区福田体育公园西北角友和招标代理服务中心（靠近北门）；</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报名方式：线上报名，具体操作请登录“友和招标代理服务网”（网址：http://yhzb.uho.cn/）的“重要通知”中查看《关于采用线上报名方式的通知》；</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售价：本招标文件每套售价人民币600元，售后不退；如需邮寄，均以“到付”为邮寄费的付费方式。</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招标文件售卖咨询电话：0755-83881111</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购买招标文件所需资料：</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（1）法定代表人证明书原件及身份证扫描件（加盖公章）；</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（2）法定代表人授权委托书原件及被授权人身份证扫描件（加盖公章）；</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（3）上述“二、申请人的资格要求”中第</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项证明文件。</w:t>
      </w:r>
    </w:p>
    <w:p>
      <w:pPr>
        <w:keepNext w:val="0"/>
        <w:keepLines w:val="0"/>
        <w:pageBreakBefore w:val="0"/>
        <w:widowControl/>
        <w:kinsoku/>
        <w:wordWrap/>
        <w:overflowPunct/>
        <w:topLinePunct w:val="0"/>
        <w:autoSpaceDE/>
        <w:autoSpaceDN/>
        <w:bidi w:val="0"/>
        <w:adjustRightInd/>
        <w:snapToGrid w:val="0"/>
        <w:spacing w:line="400" w:lineRule="exact"/>
        <w:ind w:firstLine="481" w:firstLineChars="200"/>
        <w:jc w:val="left"/>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温馨提示：</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1.以上材料投标时需</w:t>
      </w:r>
      <w:r>
        <w:rPr>
          <w:rFonts w:hint="eastAsia" w:ascii="宋体" w:hAnsi="宋体" w:eastAsia="宋体" w:cs="宋体"/>
          <w:color w:val="auto"/>
          <w:kern w:val="0"/>
          <w:sz w:val="24"/>
          <w:szCs w:val="24"/>
          <w:highlight w:val="none"/>
          <w:lang w:eastAsia="zh-CN"/>
        </w:rPr>
        <w:t>同时</w:t>
      </w:r>
      <w:r>
        <w:rPr>
          <w:rFonts w:hint="eastAsia" w:ascii="宋体" w:hAnsi="宋体" w:eastAsia="宋体" w:cs="宋体"/>
          <w:color w:val="auto"/>
          <w:kern w:val="0"/>
          <w:sz w:val="24"/>
          <w:szCs w:val="24"/>
          <w:highlight w:val="none"/>
        </w:rPr>
        <w:t>放入投标文件中作为资格审查材料，投标时若未提供将作无效投标处理。</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2.投标报名审核通过后，招标文件电子版将通过邮箱（uhocai@163.com）发送到投标报名表上填写的邮箱中。</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 开标时间和地点</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iCs/>
          <w:color w:val="auto"/>
          <w:sz w:val="24"/>
          <w:szCs w:val="24"/>
          <w:highlight w:val="none"/>
          <w:u w:val="single"/>
        </w:rPr>
      </w:pPr>
      <w:r>
        <w:rPr>
          <w:rFonts w:hint="eastAsia" w:ascii="宋体" w:hAnsi="宋体" w:eastAsia="宋体" w:cs="宋体"/>
          <w:bCs/>
          <w:color w:val="auto"/>
          <w:sz w:val="24"/>
          <w:szCs w:val="24"/>
          <w:highlight w:val="none"/>
        </w:rPr>
        <w:t>时间：</w:t>
      </w:r>
      <w:r>
        <w:rPr>
          <w:rFonts w:hint="eastAsia" w:ascii="宋体" w:hAnsi="宋体" w:eastAsia="宋体" w:cs="宋体"/>
          <w:color w:val="auto"/>
          <w:sz w:val="24"/>
          <w:highlight w:val="none"/>
          <w:lang w:val="en-US" w:eastAsia="zh-CN"/>
        </w:rPr>
        <w:t>2022</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分00秒（北京时间）</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snapToGrid w:val="0"/>
          <w:color w:val="auto"/>
          <w:sz w:val="24"/>
          <w:szCs w:val="24"/>
          <w:highlight w:val="none"/>
          <w:lang w:val="zh-CN"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深圳市福田区福田体育公园西北角友和招标代理服务中心（靠近北门）</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 公告期限</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自本公告发布之日起 5 个工作日。</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 其他补充事宜：</w:t>
      </w:r>
    </w:p>
    <w:p>
      <w:pPr>
        <w:pStyle w:val="8"/>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2"/>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澄清及答疑事项：</w:t>
      </w:r>
    </w:p>
    <w:p>
      <w:pPr>
        <w:pStyle w:val="4"/>
        <w:keepNext w:val="0"/>
        <w:keepLines w:val="0"/>
        <w:pageBreakBefore w:val="0"/>
        <w:widowControl w:val="0"/>
        <w:kinsoku/>
        <w:wordWrap/>
        <w:overflowPunct/>
        <w:topLinePunct w:val="0"/>
        <w:autoSpaceDE/>
        <w:autoSpaceDN/>
        <w:bidi w:val="0"/>
        <w:snapToGrid w:val="0"/>
        <w:spacing w:line="400" w:lineRule="exact"/>
        <w:ind w:firstLine="400"/>
        <w:textAlignment w:val="auto"/>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投标人要求采购人对招标文件进行澄清的，请于投标截止日五日前，以书面形式加盖单位公章邮件或送达招标代理机构，邮件须电话确认，逾期不予受理。对招标文件进行澄清或者修改的，招标代理机构在投标截止日三日前通知所有已收受招标文件或者已响应招标的供应商。对招标文件的任何澄清或者修改，以招标代理机构发出的通知为准。</w:t>
      </w:r>
    </w:p>
    <w:p>
      <w:pPr>
        <w:pStyle w:val="8"/>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重要提示：</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投标人有义务在招标活动期间浏览下述“相关项目信息查询网址”中各网站信息，招标人在相关网站上公布的与本次招标项目有关的信息视为已送达各投标人。招标人恕不再行电话通知各投标人。</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七、对本次招标提出询问， 请按以下方式联系。</w:t>
      </w:r>
    </w:p>
    <w:p>
      <w:pPr>
        <w:pStyle w:val="7"/>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采购人信息</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名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val="en-US" w:eastAsia="zh-CN"/>
        </w:rPr>
        <w:t>深圳市居民家庭经济状况核对中心</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lang w:val="en-US" w:eastAsia="zh-CN"/>
        </w:rPr>
        <w:t>深圳市罗湖区中民时代广场A座13楼</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人：</w:t>
      </w:r>
      <w:r>
        <w:rPr>
          <w:rFonts w:hint="eastAsia" w:ascii="宋体" w:hAnsi="宋体" w:cs="宋体"/>
          <w:color w:val="auto"/>
          <w:sz w:val="24"/>
          <w:szCs w:val="24"/>
          <w:highlight w:val="none"/>
          <w:u w:val="none"/>
          <w:lang w:eastAsia="zh-CN"/>
        </w:rPr>
        <w:t>赵小姐</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none"/>
        </w:rPr>
        <w:t>0755-86719453</w:t>
      </w:r>
    </w:p>
    <w:p>
      <w:pPr>
        <w:pStyle w:val="7"/>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采购代理机构信息</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u w:val="single"/>
        </w:rPr>
        <w:t>友和保险经纪有限公司</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址：深圳市福田区福田体育公园西北角友和招标代理服务中心（靠近北门）</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联系方式：0755-83881281                     </w:t>
      </w:r>
    </w:p>
    <w:p>
      <w:pPr>
        <w:pStyle w:val="7"/>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val="en-US" w:eastAsia="zh-CN"/>
        </w:rPr>
        <w:t>朴工</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highlight w:val="none"/>
          <w:u w:val="single"/>
          <w:lang w:val="en-US" w:eastAsia="zh-CN"/>
        </w:rPr>
        <w:t>755-8388</w:t>
      </w:r>
      <w:r>
        <w:rPr>
          <w:rFonts w:hint="eastAsia" w:ascii="宋体" w:hAnsi="宋体" w:cs="宋体"/>
          <w:color w:val="auto"/>
          <w:sz w:val="24"/>
          <w:highlight w:val="none"/>
          <w:u w:val="single"/>
          <w:lang w:val="en-US" w:eastAsia="zh-CN"/>
        </w:rPr>
        <w:t>9026</w:t>
      </w:r>
    </w:p>
    <w:p>
      <w:pPr>
        <w:pStyle w:val="7"/>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相关项目信息查询网址</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深圳公共资源交易中心（深圳交易集团有限公司政府采购业务分公司）</w:t>
      </w:r>
      <w:r>
        <w:rPr>
          <w:rFonts w:hint="eastAsia" w:ascii="宋体" w:hAnsi="宋体" w:eastAsia="宋体" w:cs="宋体"/>
          <w:color w:val="auto"/>
          <w:sz w:val="24"/>
          <w:szCs w:val="24"/>
          <w:highlight w:val="none"/>
          <w:u w:val="single"/>
        </w:rPr>
        <w:t>http://www.szggzy.com/</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友和招标代理服务网 http://yhzb.uho.cn/</w:t>
      </w:r>
    </w:p>
    <w:p>
      <w:pPr>
        <w:keepNext w:val="0"/>
        <w:keepLines w:val="0"/>
        <w:pageBreakBefore w:val="0"/>
        <w:kinsoku/>
        <w:wordWrap/>
        <w:overflowPunct/>
        <w:topLinePunct w:val="0"/>
        <w:autoSpaceDE/>
        <w:autoSpaceDN/>
        <w:bidi w:val="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八、银行账户信息</w:t>
      </w:r>
    </w:p>
    <w:tbl>
      <w:tblPr>
        <w:tblStyle w:val="5"/>
        <w:tblW w:w="74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54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03" w:type="dxa"/>
            <w:gridSpan w:val="2"/>
            <w:tcBorders>
              <w:top w:val="double" w:color="auto" w:sz="4" w:space="0"/>
              <w:left w:val="double" w:color="auto" w:sz="4" w:space="0"/>
              <w:bottom w:val="single" w:color="auto" w:sz="6" w:space="0"/>
              <w:right w:val="double" w:color="auto" w:sz="4" w:space="0"/>
            </w:tcBorders>
            <w:vAlign w:val="center"/>
          </w:tcPr>
          <w:p>
            <w:pPr>
              <w:pStyle w:val="9"/>
              <w:keepNext w:val="0"/>
              <w:keepLines w:val="0"/>
              <w:pageBreakBefore w:val="0"/>
              <w:kinsoku/>
              <w:wordWrap/>
              <w:overflowPunct/>
              <w:topLinePunct w:val="0"/>
              <w:autoSpaceDE/>
              <w:autoSpaceDN/>
              <w:bidi w:val="0"/>
              <w:spacing w:line="276" w:lineRule="auto"/>
              <w:ind w:left="0" w:lef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缴费银行账户信息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single" w:color="C0C0C0" w:sz="6" w:space="0"/>
              <w:right w:val="single" w:color="C0C0C0" w:sz="6" w:space="0"/>
            </w:tcBorders>
            <w:vAlign w:val="center"/>
          </w:tcPr>
          <w:p>
            <w:pPr>
              <w:pStyle w:val="9"/>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5433" w:type="dxa"/>
            <w:tcBorders>
              <w:top w:val="single" w:color="C0C0C0" w:sz="6" w:space="0"/>
              <w:left w:val="single" w:color="C0C0C0" w:sz="6" w:space="0"/>
              <w:bottom w:val="single" w:color="C0C0C0" w:sz="6" w:space="0"/>
              <w:right w:val="double" w:color="auto" w:sz="4" w:space="0"/>
            </w:tcBorders>
            <w:vAlign w:val="center"/>
          </w:tcPr>
          <w:p>
            <w:pPr>
              <w:pStyle w:val="9"/>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中国民生银行深圳分行福田支行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single" w:color="C0C0C0" w:sz="6" w:space="0"/>
              <w:right w:val="single" w:color="C0C0C0" w:sz="6" w:space="0"/>
            </w:tcBorders>
            <w:vAlign w:val="center"/>
          </w:tcPr>
          <w:p>
            <w:pPr>
              <w:pStyle w:val="9"/>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w:t>
            </w:r>
          </w:p>
        </w:tc>
        <w:tc>
          <w:tcPr>
            <w:tcW w:w="5433" w:type="dxa"/>
            <w:tcBorders>
              <w:top w:val="single" w:color="C0C0C0" w:sz="6" w:space="0"/>
              <w:left w:val="single" w:color="C0C0C0" w:sz="6" w:space="0"/>
              <w:bottom w:val="single" w:color="C0C0C0" w:sz="6" w:space="0"/>
              <w:right w:val="double" w:color="auto" w:sz="4" w:space="0"/>
            </w:tcBorders>
            <w:vAlign w:val="center"/>
          </w:tcPr>
          <w:p>
            <w:pPr>
              <w:pStyle w:val="9"/>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友和保险经纪有限公司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double" w:color="auto" w:sz="4" w:space="0"/>
              <w:right w:val="single" w:color="C0C0C0" w:sz="6" w:space="0"/>
            </w:tcBorders>
            <w:vAlign w:val="center"/>
          </w:tcPr>
          <w:p>
            <w:pPr>
              <w:pStyle w:val="9"/>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tc>
        <w:tc>
          <w:tcPr>
            <w:tcW w:w="5433" w:type="dxa"/>
            <w:tcBorders>
              <w:top w:val="single" w:color="C0C0C0" w:sz="6" w:space="0"/>
              <w:left w:val="single" w:color="C0C0C0" w:sz="6" w:space="0"/>
              <w:bottom w:val="double" w:color="auto" w:sz="4" w:space="0"/>
              <w:right w:val="double" w:color="auto" w:sz="4" w:space="0"/>
            </w:tcBorders>
            <w:vAlign w:val="center"/>
          </w:tcPr>
          <w:p>
            <w:pPr>
              <w:pStyle w:val="9"/>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1806014170017592</w:t>
            </w:r>
          </w:p>
        </w:tc>
      </w:tr>
    </w:tbl>
    <w:p>
      <w:pPr>
        <w:pStyle w:val="10"/>
        <w:keepNext w:val="0"/>
        <w:keepLines w:val="0"/>
        <w:pageBreakBefore w:val="0"/>
        <w:kinsoku/>
        <w:wordWrap/>
        <w:overflowPunct/>
        <w:topLinePunct w:val="0"/>
        <w:autoSpaceDE/>
        <w:autoSpaceDN/>
        <w:bidi w:val="0"/>
        <w:textAlignment w:val="auto"/>
        <w:outlineLvl w:val="9"/>
        <w:rPr>
          <w:rFonts w:hint="eastAsia" w:ascii="宋体" w:hAnsi="宋体" w:eastAsia="宋体" w:cs="宋体"/>
          <w:color w:val="auto"/>
          <w:szCs w:val="21"/>
          <w:highlight w:val="none"/>
        </w:rPr>
      </w:pPr>
    </w:p>
    <w:p>
      <w:pPr>
        <w:pStyle w:val="10"/>
        <w:keepNext w:val="0"/>
        <w:keepLines w:val="0"/>
        <w:pageBreakBefore w:val="0"/>
        <w:kinsoku/>
        <w:wordWrap/>
        <w:overflowPunct/>
        <w:topLinePunct w:val="0"/>
        <w:autoSpaceDE/>
        <w:autoSpaceDN/>
        <w:bidi w:val="0"/>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友和保险经纪有限公司</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righ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7D4F1D"/>
    <w:multiLevelType w:val="multilevel"/>
    <w:tmpl w:val="227D4F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1E7D63"/>
    <w:multiLevelType w:val="multilevel"/>
    <w:tmpl w:val="391E7D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C7847B"/>
    <w:multiLevelType w:val="multilevel"/>
    <w:tmpl w:val="3EC784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NmRkZmY1ZmIxZDVmZmRhMWQ4ODNhNmM2Yjg4NjcifQ=="/>
  </w:docVars>
  <w:rsids>
    <w:rsidRoot w:val="00000000"/>
    <w:rsid w:val="34F383FE"/>
    <w:rsid w:val="6B220585"/>
    <w:rsid w:val="7D4FDD63"/>
    <w:rsid w:val="F7FEDC5C"/>
    <w:rsid w:val="F9437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paragraph" w:styleId="4">
    <w:name w:val="Normal Indent"/>
    <w:basedOn w:val="1"/>
    <w:next w:val="1"/>
    <w:qFormat/>
    <w:uiPriority w:val="0"/>
    <w:pPr>
      <w:ind w:firstLine="420" w:firstLineChars="200"/>
    </w:pPr>
    <w:rPr>
      <w:kern w:val="0"/>
      <w:sz w:val="20"/>
    </w:rPr>
  </w:style>
  <w:style w:type="paragraph" w:customStyle="1" w:styleId="7">
    <w:name w:val="彩色列表 - 强调文字颜色 111"/>
    <w:basedOn w:val="1"/>
    <w:qFormat/>
    <w:uiPriority w:val="0"/>
    <w:pPr>
      <w:ind w:firstLine="420" w:firstLineChars="200"/>
    </w:pPr>
  </w:style>
  <w:style w:type="paragraph" w:styleId="8">
    <w:name w:val="List Paragraph"/>
    <w:basedOn w:val="1"/>
    <w:unhideWhenUsed/>
    <w:qFormat/>
    <w:uiPriority w:val="99"/>
    <w:pPr>
      <w:ind w:firstLine="420" w:firstLineChars="200"/>
    </w:pPr>
  </w:style>
  <w:style w:type="paragraph" w:customStyle="1" w:styleId="9">
    <w:name w:val="*正文"/>
    <w:basedOn w:val="1"/>
    <w:qFormat/>
    <w:uiPriority w:val="0"/>
    <w:pPr>
      <w:spacing w:line="360" w:lineRule="auto"/>
      <w:ind w:firstLine="200" w:firstLineChars="200"/>
    </w:pPr>
    <w:rPr>
      <w:rFonts w:ascii="宋体" w:hAnsi="宋体"/>
      <w:kern w:val="0"/>
      <w:sz w:val="22"/>
    </w:rPr>
  </w:style>
  <w:style w:type="paragraph" w:customStyle="1" w:styleId="10">
    <w:name w:val="文档正文"/>
    <w:basedOn w:val="1"/>
    <w:qFormat/>
    <w:uiPriority w:val="0"/>
    <w:pPr>
      <w:spacing w:line="360" w:lineRule="auto"/>
      <w:ind w:firstLine="480" w:firstLineChars="200"/>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2022-10-31T23:42:00Z</dcterms:created>
  <dc:creator>Administrator</dc:creator>
  <cp:lastModifiedBy>郑锦婷</cp:lastModifiedBy>
  <dcterms:modified xsi:type="dcterms:W3CDTF">2023-05-29T16:43:25Z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8455CAD99A994BA886450AD3F4FE3347</vt:lpwstr>
  </property>
</Properties>
</file>