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pStyle w:val="4"/>
        <w:jc w:val="center"/>
        <w:outlineLvl w:val="1"/>
        <w:rPr>
          <w:rFonts w:ascii="黑体" w:hAnsi="黑体" w:eastAsia="黑体"/>
          <w:sz w:val="40"/>
          <w:szCs w:val="40"/>
        </w:rPr>
      </w:pPr>
      <w:r>
        <w:rPr>
          <w:rFonts w:hint="eastAsia" w:ascii="黑体" w:hAnsi="黑体" w:eastAsia="黑体"/>
          <w:sz w:val="40"/>
          <w:szCs w:val="40"/>
        </w:rPr>
        <w:t>评标信息</w:t>
      </w:r>
    </w:p>
    <w:p>
      <w:pPr>
        <w:wordWrap w:val="0"/>
        <w:jc w:val="center"/>
        <w:rPr>
          <w:b/>
          <w:bCs/>
        </w:rPr>
      </w:pPr>
    </w:p>
    <w:tbl>
      <w:tblPr>
        <w:tblStyle w:val="5"/>
        <w:tblW w:w="9520"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13"/>
        <w:gridCol w:w="714"/>
        <w:gridCol w:w="1672"/>
        <w:gridCol w:w="756"/>
        <w:gridCol w:w="5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cs="宋体"/>
                <w:b/>
                <w:bCs/>
                <w:sz w:val="24"/>
              </w:rPr>
            </w:pPr>
            <w:r>
              <w:rPr>
                <w:b/>
                <w:bCs/>
              </w:rPr>
              <w:t>序号</w:t>
            </w:r>
          </w:p>
        </w:tc>
        <w:tc>
          <w:tcPr>
            <w:tcW w:w="3142"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cs="宋体"/>
                <w:b/>
                <w:bCs/>
                <w:sz w:val="24"/>
              </w:rPr>
            </w:pPr>
            <w:r>
              <w:rPr>
                <w:b/>
                <w:bCs/>
              </w:rPr>
              <w:t>评分项</w:t>
            </w:r>
          </w:p>
        </w:tc>
        <w:tc>
          <w:tcPr>
            <w:tcW w:w="5665"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b/>
                <w:bCs/>
                <w:color w:val="0000FF"/>
                <w:sz w:val="24"/>
              </w:rPr>
            </w:pPr>
            <w:r>
              <w:rPr>
                <w:rFonts w:ascii="Calibri" w:hAnsi="Calibri"/>
                <w:b/>
                <w:bCs/>
                <w:color w:val="0000FF"/>
              </w:rPr>
              <w:t>1</w:t>
            </w:r>
          </w:p>
        </w:tc>
        <w:tc>
          <w:tcPr>
            <w:tcW w:w="3142"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价格</w:t>
            </w:r>
          </w:p>
        </w:tc>
        <w:tc>
          <w:tcPr>
            <w:tcW w:w="5665"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rFonts w:hint="eastAsia"/>
                <w:b/>
                <w:bCs/>
                <w:color w:val="0000FF"/>
                <w:lang w:val="en-US" w:eastAsia="zh-CN"/>
              </w:rPr>
              <w:t>20</w:t>
            </w:r>
            <w:r>
              <w:rPr>
                <w:rFonts w:hint="eastAsia" w:ascii="Calibri" w:hAnsi="Calibri"/>
                <w:b/>
                <w:bCs/>
                <w:color w:val="0000FF"/>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b/>
                <w:bCs/>
                <w:color w:val="0000FF"/>
                <w:sz w:val="24"/>
              </w:rPr>
            </w:pPr>
          </w:p>
        </w:tc>
        <w:tc>
          <w:tcPr>
            <w:tcW w:w="8807"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blCellSpacing w:w="0" w:type="dxa"/>
          <w:jc w:val="center"/>
        </w:trPr>
        <w:tc>
          <w:tcPr>
            <w:tcW w:w="713"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b/>
                <w:bCs/>
                <w:color w:val="0000FF"/>
                <w:sz w:val="24"/>
              </w:rPr>
            </w:pPr>
            <w:r>
              <w:rPr>
                <w:b/>
                <w:bCs/>
                <w:color w:val="0000FF"/>
              </w:rPr>
              <w:t>2</w:t>
            </w:r>
          </w:p>
        </w:tc>
        <w:tc>
          <w:tcPr>
            <w:tcW w:w="3142"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665"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rFonts w:hint="eastAsia"/>
                <w:b/>
                <w:bCs/>
                <w:color w:val="0000FF"/>
                <w:lang w:val="en-US" w:eastAsia="zh-CN"/>
              </w:rPr>
              <w:t>50</w:t>
            </w:r>
            <w:r>
              <w:rPr>
                <w:rFonts w:hint="eastAsia" w:ascii="Calibri" w:hAnsi="Calibri"/>
                <w:b/>
                <w:bCs/>
                <w:color w:val="0000FF"/>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cs="宋体"/>
                <w:b/>
                <w:bCs/>
                <w:color w:val="0000FF"/>
                <w:sz w:val="24"/>
              </w:rPr>
            </w:pPr>
          </w:p>
        </w:tc>
        <w:tc>
          <w:tcPr>
            <w:tcW w:w="71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序号</w:t>
            </w:r>
          </w:p>
        </w:tc>
        <w:tc>
          <w:tcPr>
            <w:tcW w:w="167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评分因素</w:t>
            </w:r>
          </w:p>
        </w:tc>
        <w:tc>
          <w:tcPr>
            <w:tcW w:w="75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权重(%)</w:t>
            </w:r>
          </w:p>
        </w:tc>
        <w:tc>
          <w:tcPr>
            <w:tcW w:w="566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w:t>
            </w:r>
          </w:p>
        </w:tc>
        <w:tc>
          <w:tcPr>
            <w:tcW w:w="1672" w:type="dxa"/>
            <w:noWrap w:val="0"/>
            <w:vAlign w:val="center"/>
          </w:tcPr>
          <w:p>
            <w:pPr>
              <w:wordWrap w:val="0"/>
              <w:jc w:val="center"/>
              <w:rPr>
                <w:rFonts w:ascii="宋体" w:hAnsi="宋体" w:cs="宋体"/>
                <w:szCs w:val="21"/>
              </w:rPr>
            </w:pPr>
            <w:r>
              <w:rPr>
                <w:rFonts w:ascii="宋体" w:hAnsi="宋体"/>
                <w:szCs w:val="21"/>
              </w:rPr>
              <w:t>实施方案</w:t>
            </w:r>
          </w:p>
        </w:tc>
        <w:tc>
          <w:tcPr>
            <w:tcW w:w="756" w:type="dxa"/>
            <w:noWrap w:val="0"/>
            <w:vAlign w:val="center"/>
          </w:tcPr>
          <w:p>
            <w:pPr>
              <w:wordWrap w:val="0"/>
              <w:jc w:val="center"/>
              <w:rPr>
                <w:rFonts w:hint="default" w:ascii="宋体" w:hAnsi="宋体" w:eastAsia="宋体" w:cs="宋体"/>
                <w:szCs w:val="21"/>
                <w:lang w:val="en-US" w:eastAsia="zh-CN"/>
              </w:rPr>
            </w:pPr>
            <w:r>
              <w:rPr>
                <w:rFonts w:hint="eastAsia" w:ascii="宋体" w:hAnsi="宋体"/>
                <w:szCs w:val="21"/>
                <w:lang w:val="en-US" w:eastAsia="zh-CN"/>
              </w:rPr>
              <w:t>20</w:t>
            </w:r>
          </w:p>
        </w:tc>
        <w:tc>
          <w:tcPr>
            <w:tcW w:w="5665" w:type="dxa"/>
            <w:noWrap w:val="0"/>
            <w:vAlign w:val="top"/>
          </w:tcPr>
          <w:p>
            <w:pPr>
              <w:widowControl/>
              <w:jc w:val="left"/>
            </w:pPr>
            <w:r>
              <w:rPr>
                <w:rFonts w:hint="eastAsia" w:ascii="宋体" w:hAnsi="宋体" w:cs="宋体"/>
                <w:b/>
                <w:bCs/>
                <w:color w:val="000000"/>
                <w:kern w:val="0"/>
                <w:szCs w:val="21"/>
                <w:lang w:bidi="ar"/>
              </w:rPr>
              <w:t xml:space="preserve">（一）评分内容： </w:t>
            </w:r>
          </w:p>
          <w:p>
            <w:pPr>
              <w:spacing w:line="360" w:lineRule="auto"/>
              <w:rPr>
                <w:rFonts w:hint="eastAsia" w:hAnsi="宋体"/>
                <w:szCs w:val="21"/>
              </w:rPr>
            </w:pPr>
            <w:r>
              <w:rPr>
                <w:rFonts w:hint="eastAsia" w:hAnsi="宋体"/>
                <w:szCs w:val="21"/>
              </w:rPr>
              <w:t>1.项目的工作措施；2.项目的工作方法；3.项目的工作手段；</w:t>
            </w:r>
          </w:p>
          <w:p>
            <w:pPr>
              <w:spacing w:line="360" w:lineRule="auto"/>
              <w:rPr>
                <w:rFonts w:hint="eastAsia" w:hAnsi="宋体"/>
                <w:szCs w:val="21"/>
              </w:rPr>
            </w:pPr>
            <w:r>
              <w:rPr>
                <w:rFonts w:hint="eastAsia" w:hAnsi="宋体"/>
                <w:szCs w:val="21"/>
              </w:rPr>
              <w:t>4.项目的工作流程；5.</w:t>
            </w:r>
            <w:r>
              <w:rPr>
                <w:rFonts w:hAnsi="宋体"/>
                <w:szCs w:val="21"/>
              </w:rPr>
              <w:t>固定的工作场所（要求提供图片和文字描述）</w:t>
            </w:r>
            <w:r>
              <w:rPr>
                <w:rFonts w:hint="eastAsia" w:hAnsi="宋体"/>
                <w:szCs w:val="21"/>
              </w:rPr>
              <w:t>；6.</w:t>
            </w:r>
            <w:r>
              <w:rPr>
                <w:rFonts w:hAnsi="宋体"/>
                <w:szCs w:val="21"/>
              </w:rPr>
              <w:t>专业的设备设施（要求提供图片和文字描述）</w:t>
            </w:r>
            <w:r>
              <w:rPr>
                <w:rFonts w:hint="eastAsia" w:hAnsi="宋体"/>
                <w:szCs w:val="21"/>
              </w:rPr>
              <w:t>。</w:t>
            </w:r>
          </w:p>
          <w:p>
            <w:pPr>
              <w:widowControl/>
              <w:jc w:val="left"/>
            </w:pPr>
            <w:r>
              <w:rPr>
                <w:rFonts w:hint="eastAsia" w:ascii="宋体" w:hAnsi="宋体" w:cs="宋体"/>
                <w:b/>
                <w:bCs/>
                <w:color w:val="000000"/>
                <w:kern w:val="0"/>
                <w:szCs w:val="21"/>
                <w:lang w:bidi="ar"/>
              </w:rPr>
              <w:t xml:space="preserve">（二）评分依据： </w:t>
            </w:r>
          </w:p>
          <w:p>
            <w:pPr>
              <w:widowControl/>
              <w:ind w:firstLine="420" w:firstLineChars="200"/>
              <w:jc w:val="left"/>
            </w:pPr>
            <w:r>
              <w:rPr>
                <w:rFonts w:hint="eastAsia" w:ascii="宋体" w:hAnsi="宋体" w:cs="宋体"/>
                <w:color w:val="000000"/>
                <w:kern w:val="0"/>
                <w:szCs w:val="21"/>
                <w:lang w:bidi="ar"/>
              </w:rPr>
              <w:t xml:space="preserve">1.满足以上 </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 xml:space="preserve">项得 </w:t>
            </w:r>
            <w:r>
              <w:rPr>
                <w:rFonts w:hint="eastAsia" w:ascii="宋体" w:hAnsi="宋体" w:cs="宋体"/>
                <w:color w:val="000000"/>
                <w:kern w:val="0"/>
                <w:szCs w:val="21"/>
                <w:lang w:val="en-US" w:eastAsia="zh-CN" w:bidi="ar"/>
              </w:rPr>
              <w:t>60</w:t>
            </w:r>
            <w:r>
              <w:rPr>
                <w:rFonts w:hint="eastAsia" w:ascii="宋体" w:hAnsi="宋体" w:cs="宋体"/>
                <w:color w:val="000000"/>
                <w:kern w:val="0"/>
                <w:szCs w:val="21"/>
                <w:lang w:bidi="ar"/>
              </w:rPr>
              <w:t xml:space="preserve">分，满足任意 </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项得 </w:t>
            </w:r>
            <w:r>
              <w:rPr>
                <w:rFonts w:hint="eastAsia" w:ascii="宋体" w:hAnsi="宋体" w:cs="宋体"/>
                <w:color w:val="000000"/>
                <w:kern w:val="0"/>
                <w:szCs w:val="21"/>
                <w:lang w:val="en-US" w:eastAsia="zh-CN" w:bidi="ar"/>
              </w:rPr>
              <w:t>50</w:t>
            </w:r>
            <w:r>
              <w:rPr>
                <w:rFonts w:hint="eastAsia" w:ascii="宋体" w:hAnsi="宋体" w:cs="宋体"/>
                <w:color w:val="000000"/>
                <w:kern w:val="0"/>
                <w:szCs w:val="21"/>
                <w:lang w:bidi="ar"/>
              </w:rPr>
              <w:t xml:space="preserve"> 分，满足任意</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 xml:space="preserve">项得 40 分，满足任意 </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 xml:space="preserve">项得 30 分，其他情况不得分； </w:t>
            </w:r>
          </w:p>
          <w:p>
            <w:pPr>
              <w:widowControl/>
              <w:ind w:firstLine="420" w:firstLineChars="200"/>
              <w:jc w:val="left"/>
            </w:pPr>
            <w:r>
              <w:rPr>
                <w:rFonts w:hint="eastAsia" w:ascii="宋体" w:hAnsi="宋体" w:cs="宋体"/>
                <w:color w:val="000000"/>
                <w:kern w:val="0"/>
                <w:szCs w:val="21"/>
                <w:lang w:bidi="ar"/>
              </w:rPr>
              <w:t xml:space="preserve">2.在此基础上，专家根据各供应商的具体响应内容按照量化的评审因素指标进一步评审： </w:t>
            </w:r>
          </w:p>
          <w:p>
            <w:pPr>
              <w:widowControl/>
              <w:jc w:val="left"/>
            </w:pPr>
            <w:r>
              <w:rPr>
                <w:rFonts w:hint="eastAsia" w:ascii="宋体" w:hAnsi="宋体" w:cs="宋体"/>
                <w:color w:val="000000"/>
                <w:kern w:val="0"/>
                <w:szCs w:val="21"/>
                <w:lang w:bidi="ar"/>
              </w:rPr>
              <w:t xml:space="preserve">优评分标准：方案符合实际、完整、规范、思路清晰，内 </w:t>
            </w:r>
          </w:p>
          <w:p>
            <w:pPr>
              <w:widowControl/>
              <w:jc w:val="left"/>
            </w:pPr>
            <w:r>
              <w:rPr>
                <w:rFonts w:hint="eastAsia" w:ascii="宋体" w:hAnsi="宋体" w:cs="宋体"/>
                <w:color w:val="000000"/>
                <w:kern w:val="0"/>
                <w:szCs w:val="21"/>
                <w:lang w:bidi="ar"/>
              </w:rPr>
              <w:t xml:space="preserve">容合理性强。 </w:t>
            </w:r>
          </w:p>
          <w:p>
            <w:pPr>
              <w:widowControl/>
              <w:jc w:val="left"/>
            </w:pPr>
            <w:r>
              <w:rPr>
                <w:rFonts w:hint="eastAsia" w:ascii="宋体" w:hAnsi="宋体" w:cs="宋体"/>
                <w:color w:val="000000"/>
                <w:kern w:val="0"/>
                <w:szCs w:val="21"/>
                <w:lang w:bidi="ar"/>
              </w:rPr>
              <w:t xml:space="preserve">良评分标准：方案较符合实际、较完整规范、思路较清晰， </w:t>
            </w:r>
          </w:p>
          <w:p>
            <w:pPr>
              <w:widowControl/>
              <w:jc w:val="left"/>
            </w:pPr>
            <w:r>
              <w:rPr>
                <w:rFonts w:hint="eastAsia" w:ascii="宋体" w:hAnsi="宋体" w:cs="宋体"/>
                <w:color w:val="000000"/>
                <w:kern w:val="0"/>
                <w:szCs w:val="21"/>
                <w:lang w:bidi="ar"/>
              </w:rPr>
              <w:t xml:space="preserve">内容合理性较强。 </w:t>
            </w:r>
          </w:p>
          <w:p>
            <w:pPr>
              <w:widowControl/>
              <w:jc w:val="left"/>
            </w:pPr>
            <w:r>
              <w:rPr>
                <w:rFonts w:hint="eastAsia" w:ascii="宋体" w:hAnsi="宋体" w:cs="宋体"/>
                <w:color w:val="000000"/>
                <w:kern w:val="0"/>
                <w:szCs w:val="21"/>
                <w:lang w:bidi="ar"/>
              </w:rPr>
              <w:t xml:space="preserve">中评分标准：方案较普通、完整性、规范性一般，思路不 </w:t>
            </w:r>
          </w:p>
          <w:p>
            <w:pPr>
              <w:widowControl/>
              <w:jc w:val="left"/>
            </w:pPr>
            <w:r>
              <w:rPr>
                <w:rFonts w:hint="eastAsia" w:ascii="宋体" w:hAnsi="宋体" w:cs="宋体"/>
                <w:color w:val="000000"/>
                <w:kern w:val="0"/>
                <w:szCs w:val="21"/>
                <w:lang w:bidi="ar"/>
              </w:rPr>
              <w:t xml:space="preserve">够清晰，内容合理性一般。 </w:t>
            </w:r>
          </w:p>
          <w:p>
            <w:pPr>
              <w:widowControl/>
              <w:jc w:val="left"/>
            </w:pPr>
            <w:r>
              <w:rPr>
                <w:rFonts w:hint="eastAsia" w:ascii="宋体" w:hAnsi="宋体" w:cs="宋体"/>
                <w:color w:val="000000"/>
                <w:kern w:val="0"/>
                <w:szCs w:val="21"/>
                <w:lang w:bidi="ar"/>
              </w:rPr>
              <w:t xml:space="preserve">差评分标准：方案不完整、不规范，思路不清晰，内容合 </w:t>
            </w:r>
          </w:p>
          <w:p>
            <w:pPr>
              <w:widowControl/>
              <w:jc w:val="left"/>
            </w:pPr>
            <w:r>
              <w:rPr>
                <w:rFonts w:hint="eastAsia" w:ascii="宋体" w:hAnsi="宋体" w:cs="宋体"/>
                <w:color w:val="000000"/>
                <w:kern w:val="0"/>
                <w:szCs w:val="21"/>
                <w:lang w:bidi="ar"/>
              </w:rPr>
              <w:t xml:space="preserve">理性较差或未提供。 </w:t>
            </w:r>
          </w:p>
          <w:p>
            <w:pPr>
              <w:widowControl/>
              <w:ind w:firstLine="420" w:firstLineChars="200"/>
              <w:jc w:val="left"/>
            </w:pPr>
            <w:r>
              <w:rPr>
                <w:rFonts w:hint="eastAsia" w:ascii="宋体" w:hAnsi="宋体" w:cs="宋体"/>
                <w:color w:val="000000"/>
                <w:kern w:val="0"/>
                <w:szCs w:val="21"/>
                <w:lang w:bidi="ar"/>
              </w:rPr>
              <w:t xml:space="preserve">评价为优得 </w:t>
            </w:r>
            <w:r>
              <w:rPr>
                <w:rFonts w:hint="eastAsia" w:ascii="宋体" w:hAnsi="宋体" w:cs="宋体"/>
                <w:color w:val="000000"/>
                <w:kern w:val="0"/>
                <w:szCs w:val="21"/>
                <w:lang w:val="en-US" w:eastAsia="zh-CN" w:bidi="ar"/>
              </w:rPr>
              <w:t>40</w:t>
            </w:r>
            <w:r>
              <w:rPr>
                <w:rFonts w:hint="eastAsia" w:ascii="宋体" w:hAnsi="宋体" w:cs="宋体"/>
                <w:color w:val="000000"/>
                <w:kern w:val="0"/>
                <w:szCs w:val="21"/>
                <w:lang w:bidi="ar"/>
              </w:rPr>
              <w:t xml:space="preserve"> 分；评价为良得 </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 xml:space="preserve"> 分；评价为中得 10 分； 评价为差不得分。专家按百分制打分。如果评审为差，要求专家书面说明理由，并记录在档。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2</w:t>
            </w:r>
          </w:p>
        </w:tc>
        <w:tc>
          <w:tcPr>
            <w:tcW w:w="1672" w:type="dxa"/>
            <w:noWrap w:val="0"/>
            <w:vAlign w:val="center"/>
          </w:tcPr>
          <w:p>
            <w:pPr>
              <w:wordWrap w:val="0"/>
              <w:jc w:val="center"/>
              <w:rPr>
                <w:rFonts w:ascii="宋体" w:hAnsi="宋体" w:cs="宋体"/>
                <w:szCs w:val="21"/>
              </w:rPr>
            </w:pPr>
            <w:r>
              <w:rPr>
                <w:rFonts w:ascii="宋体" w:hAnsi="宋体"/>
                <w:szCs w:val="21"/>
              </w:rPr>
              <w:t>项目重点难点分析、应对措施及相关的合理化建议</w:t>
            </w:r>
          </w:p>
        </w:tc>
        <w:tc>
          <w:tcPr>
            <w:tcW w:w="756" w:type="dxa"/>
            <w:noWrap w:val="0"/>
            <w:vAlign w:val="center"/>
          </w:tcPr>
          <w:p>
            <w:pPr>
              <w:wordWrap w:val="0"/>
              <w:jc w:val="center"/>
              <w:rPr>
                <w:rFonts w:ascii="宋体" w:hAnsi="宋体" w:cs="宋体"/>
                <w:szCs w:val="21"/>
              </w:rPr>
            </w:pPr>
            <w:r>
              <w:rPr>
                <w:rFonts w:hint="eastAsia" w:ascii="宋体" w:hAnsi="宋体"/>
                <w:szCs w:val="21"/>
                <w:lang w:val="en-US" w:eastAsia="zh-CN"/>
              </w:rPr>
              <w:t>1</w:t>
            </w:r>
            <w:r>
              <w:rPr>
                <w:rFonts w:hint="eastAsia" w:ascii="宋体" w:hAnsi="宋体"/>
                <w:szCs w:val="21"/>
              </w:rPr>
              <w:t>5</w:t>
            </w:r>
          </w:p>
        </w:tc>
        <w:tc>
          <w:tcPr>
            <w:tcW w:w="5665" w:type="dxa"/>
            <w:noWrap w:val="0"/>
            <w:vAlign w:val="top"/>
          </w:tcPr>
          <w:p>
            <w:pPr>
              <w:widowControl/>
              <w:numPr>
                <w:ilvl w:val="0"/>
                <w:numId w:val="0"/>
              </w:numPr>
              <w:jc w:val="left"/>
              <w:rPr>
                <w:rFonts w:ascii="宋体" w:hAnsi="宋体" w:cs="宋体"/>
                <w:b/>
                <w:bCs/>
                <w:color w:val="000000"/>
                <w:kern w:val="0"/>
                <w:szCs w:val="21"/>
                <w:lang w:bidi="ar"/>
              </w:rPr>
            </w:pPr>
            <w:r>
              <w:rPr>
                <w:rFonts w:hint="eastAsia" w:ascii="宋体" w:hAnsi="宋体" w:cs="宋体"/>
                <w:b/>
                <w:bCs/>
                <w:color w:val="000000"/>
                <w:kern w:val="0"/>
                <w:szCs w:val="21"/>
                <w:lang w:bidi="ar"/>
              </w:rPr>
              <w:t>（一）评审内容：</w:t>
            </w:r>
          </w:p>
          <w:p>
            <w:pPr>
              <w:widowControl/>
              <w:jc w:val="left"/>
            </w:pPr>
            <w:r>
              <w:rPr>
                <w:rFonts w:hint="eastAsia" w:ascii="宋体" w:hAnsi="宋体" w:cs="宋体"/>
                <w:color w:val="000000"/>
                <w:kern w:val="0"/>
                <w:szCs w:val="21"/>
                <w:lang w:bidi="ar"/>
              </w:rPr>
              <w:t xml:space="preserve">提供符合本项目服务特点的相关重点难点分析应对措施及相关的合理化建议，包括： </w:t>
            </w:r>
          </w:p>
          <w:p>
            <w:pPr>
              <w:tabs>
                <w:tab w:val="left" w:pos="0"/>
              </w:tabs>
              <w:spacing w:line="360" w:lineRule="auto"/>
              <w:rPr>
                <w:rFonts w:hint="eastAsia" w:hAnsi="宋体"/>
                <w:szCs w:val="21"/>
              </w:rPr>
            </w:pPr>
            <w:r>
              <w:rPr>
                <w:rFonts w:hint="eastAsia" w:hAnsi="宋体"/>
                <w:szCs w:val="21"/>
              </w:rPr>
              <w:t>1.项目重点难点分析；</w:t>
            </w:r>
          </w:p>
          <w:p>
            <w:pPr>
              <w:tabs>
                <w:tab w:val="left" w:pos="0"/>
              </w:tabs>
              <w:spacing w:line="360" w:lineRule="auto"/>
              <w:rPr>
                <w:rFonts w:hint="eastAsia" w:hAnsi="宋体"/>
                <w:szCs w:val="21"/>
              </w:rPr>
            </w:pPr>
            <w:r>
              <w:rPr>
                <w:rFonts w:hint="eastAsia" w:hAnsi="宋体"/>
                <w:szCs w:val="21"/>
              </w:rPr>
              <w:t>2.项目重点难点的应对措施；</w:t>
            </w:r>
          </w:p>
          <w:p>
            <w:pPr>
              <w:tabs>
                <w:tab w:val="left" w:pos="0"/>
              </w:tabs>
              <w:spacing w:line="360" w:lineRule="auto"/>
              <w:rPr>
                <w:rFonts w:hint="eastAsia" w:hAnsi="宋体"/>
                <w:szCs w:val="21"/>
              </w:rPr>
            </w:pPr>
            <w:r>
              <w:rPr>
                <w:rFonts w:hint="eastAsia" w:hAnsi="宋体"/>
                <w:szCs w:val="21"/>
              </w:rPr>
              <w:t>3.项目重点难点的建议。</w:t>
            </w:r>
          </w:p>
          <w:p>
            <w:pPr>
              <w:widowControl/>
              <w:jc w:val="left"/>
            </w:pPr>
            <w:r>
              <w:rPr>
                <w:rFonts w:hint="eastAsia" w:ascii="宋体" w:hAnsi="宋体" w:cs="宋体"/>
                <w:color w:val="000000"/>
                <w:kern w:val="0"/>
                <w:szCs w:val="21"/>
                <w:lang w:bidi="ar"/>
              </w:rPr>
              <w:t xml:space="preserve"> </w:t>
            </w:r>
            <w:r>
              <w:rPr>
                <w:rFonts w:hint="eastAsia" w:ascii="宋体" w:hAnsi="宋体" w:cs="宋体"/>
                <w:b/>
                <w:bCs/>
                <w:color w:val="000000"/>
                <w:kern w:val="0"/>
                <w:szCs w:val="21"/>
                <w:lang w:bidi="ar"/>
              </w:rPr>
              <w:t xml:space="preserve">（二）评分依据： </w:t>
            </w:r>
          </w:p>
          <w:p>
            <w:pPr>
              <w:widowControl/>
              <w:jc w:val="left"/>
            </w:pPr>
            <w:r>
              <w:rPr>
                <w:rFonts w:hint="eastAsia" w:ascii="宋体" w:hAnsi="宋体" w:cs="宋体"/>
                <w:color w:val="000000"/>
                <w:kern w:val="0"/>
                <w:szCs w:val="21"/>
                <w:lang w:bidi="ar"/>
              </w:rPr>
              <w:t>1.提出以上</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点内容得</w:t>
            </w:r>
            <w:r>
              <w:rPr>
                <w:rFonts w:hint="eastAsia" w:ascii="宋体" w:hAnsi="宋体" w:cs="宋体"/>
                <w:color w:val="000000"/>
                <w:kern w:val="0"/>
                <w:szCs w:val="21"/>
                <w:lang w:val="en-US" w:eastAsia="zh-CN" w:bidi="ar"/>
              </w:rPr>
              <w:t>60</w:t>
            </w:r>
            <w:r>
              <w:rPr>
                <w:rFonts w:hint="eastAsia" w:ascii="宋体" w:hAnsi="宋体" w:cs="宋体"/>
                <w:color w:val="000000"/>
                <w:kern w:val="0"/>
                <w:szCs w:val="21"/>
                <w:lang w:bidi="ar"/>
              </w:rPr>
              <w:t>分，提供以上任意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 xml:space="preserve">点内容得 40分，未满足不得分。 </w:t>
            </w:r>
          </w:p>
          <w:p>
            <w:pPr>
              <w:widowControl/>
              <w:jc w:val="left"/>
            </w:pPr>
            <w:r>
              <w:rPr>
                <w:rFonts w:hint="eastAsia" w:ascii="宋体" w:hAnsi="宋体" w:cs="宋体"/>
                <w:color w:val="000000"/>
                <w:kern w:val="0"/>
                <w:szCs w:val="21"/>
                <w:lang w:bidi="ar"/>
              </w:rPr>
              <w:t xml:space="preserve">2.在此基础上，专家根据各供应商的具体响应内容按照量化的评审因素指标进一步评审： </w:t>
            </w:r>
          </w:p>
          <w:p>
            <w:pPr>
              <w:widowControl/>
              <w:jc w:val="left"/>
            </w:pPr>
            <w:r>
              <w:rPr>
                <w:rFonts w:hint="eastAsia" w:ascii="宋体" w:hAnsi="宋体" w:cs="宋体"/>
                <w:color w:val="000000"/>
                <w:kern w:val="0"/>
                <w:szCs w:val="21"/>
                <w:lang w:bidi="ar"/>
              </w:rPr>
              <w:t xml:space="preserve">优评分标准：方案符合实际、完整、规范、思路清晰，内 </w:t>
            </w:r>
          </w:p>
          <w:p>
            <w:pPr>
              <w:widowControl/>
              <w:jc w:val="left"/>
            </w:pPr>
            <w:r>
              <w:rPr>
                <w:rFonts w:hint="eastAsia" w:ascii="宋体" w:hAnsi="宋体" w:cs="宋体"/>
                <w:color w:val="000000"/>
                <w:kern w:val="0"/>
                <w:szCs w:val="21"/>
                <w:lang w:bidi="ar"/>
              </w:rPr>
              <w:t xml:space="preserve">容合理性强。 </w:t>
            </w:r>
          </w:p>
          <w:p>
            <w:pPr>
              <w:widowControl/>
              <w:jc w:val="left"/>
            </w:pPr>
            <w:r>
              <w:rPr>
                <w:rFonts w:hint="eastAsia" w:ascii="宋体" w:hAnsi="宋体" w:cs="宋体"/>
                <w:color w:val="000000"/>
                <w:kern w:val="0"/>
                <w:szCs w:val="21"/>
                <w:lang w:bidi="ar"/>
              </w:rPr>
              <w:t xml:space="preserve">良评分标准：方案较符合实际、较完整规范、思路较清晰， </w:t>
            </w:r>
          </w:p>
          <w:p>
            <w:pPr>
              <w:widowControl/>
              <w:jc w:val="left"/>
            </w:pPr>
            <w:r>
              <w:rPr>
                <w:rFonts w:hint="eastAsia" w:ascii="宋体" w:hAnsi="宋体" w:cs="宋体"/>
                <w:color w:val="000000"/>
                <w:kern w:val="0"/>
                <w:szCs w:val="21"/>
                <w:lang w:bidi="ar"/>
              </w:rPr>
              <w:t xml:space="preserve">内容合理性较强。 </w:t>
            </w:r>
          </w:p>
          <w:p>
            <w:pPr>
              <w:widowControl/>
              <w:jc w:val="left"/>
            </w:pPr>
            <w:r>
              <w:rPr>
                <w:rFonts w:hint="eastAsia" w:ascii="宋体" w:hAnsi="宋体" w:cs="宋体"/>
                <w:color w:val="000000"/>
                <w:kern w:val="0"/>
                <w:szCs w:val="21"/>
                <w:lang w:bidi="ar"/>
              </w:rPr>
              <w:t xml:space="preserve">中评分标准：方案较普通、完整性、规范性一般，思路不 </w:t>
            </w:r>
          </w:p>
          <w:p>
            <w:pPr>
              <w:widowControl/>
              <w:jc w:val="left"/>
            </w:pPr>
            <w:r>
              <w:rPr>
                <w:rFonts w:hint="eastAsia" w:ascii="宋体" w:hAnsi="宋体" w:cs="宋体"/>
                <w:color w:val="000000"/>
                <w:kern w:val="0"/>
                <w:szCs w:val="21"/>
                <w:lang w:bidi="ar"/>
              </w:rPr>
              <w:t xml:space="preserve">够清晰，内容合理性一般。 </w:t>
            </w:r>
          </w:p>
          <w:p>
            <w:pPr>
              <w:widowControl/>
              <w:jc w:val="left"/>
            </w:pPr>
            <w:r>
              <w:rPr>
                <w:rFonts w:hint="eastAsia" w:ascii="宋体" w:hAnsi="宋体" w:cs="宋体"/>
                <w:color w:val="000000"/>
                <w:kern w:val="0"/>
                <w:szCs w:val="21"/>
                <w:lang w:bidi="ar"/>
              </w:rPr>
              <w:t xml:space="preserve">差评分标准：方案不完整、不规范，思路不清晰，内容合 </w:t>
            </w:r>
          </w:p>
          <w:p>
            <w:pPr>
              <w:widowControl/>
              <w:jc w:val="left"/>
            </w:pPr>
            <w:r>
              <w:rPr>
                <w:rFonts w:hint="eastAsia" w:ascii="宋体" w:hAnsi="宋体" w:cs="宋体"/>
                <w:color w:val="000000"/>
                <w:kern w:val="0"/>
                <w:szCs w:val="21"/>
                <w:lang w:bidi="ar"/>
              </w:rPr>
              <w:t xml:space="preserve">理性较差或未提供。 </w:t>
            </w:r>
          </w:p>
          <w:p>
            <w:pPr>
              <w:widowControl/>
              <w:jc w:val="left"/>
            </w:pPr>
            <w:r>
              <w:rPr>
                <w:rFonts w:hint="eastAsia" w:ascii="宋体" w:hAnsi="宋体" w:cs="宋体"/>
                <w:color w:val="000000"/>
                <w:kern w:val="0"/>
                <w:szCs w:val="21"/>
                <w:lang w:bidi="ar"/>
              </w:rPr>
              <w:t xml:space="preserve">评价为优得 </w:t>
            </w:r>
            <w:r>
              <w:rPr>
                <w:rFonts w:hint="eastAsia" w:ascii="宋体" w:hAnsi="宋体" w:cs="宋体"/>
                <w:color w:val="000000"/>
                <w:kern w:val="0"/>
                <w:szCs w:val="21"/>
                <w:lang w:val="en-US" w:eastAsia="zh-CN" w:bidi="ar"/>
              </w:rPr>
              <w:t>40</w:t>
            </w:r>
            <w:r>
              <w:rPr>
                <w:rFonts w:hint="eastAsia" w:ascii="宋体" w:hAnsi="宋体" w:cs="宋体"/>
                <w:color w:val="000000"/>
                <w:kern w:val="0"/>
                <w:szCs w:val="21"/>
                <w:lang w:bidi="ar"/>
              </w:rPr>
              <w:t xml:space="preserve"> 分；评价为良得 </w:t>
            </w:r>
            <w:r>
              <w:rPr>
                <w:rFonts w:hint="eastAsia" w:ascii="宋体" w:hAnsi="宋体" w:cs="宋体"/>
                <w:color w:val="000000"/>
                <w:kern w:val="0"/>
                <w:szCs w:val="21"/>
                <w:lang w:val="en-US" w:eastAsia="zh-CN" w:bidi="ar"/>
              </w:rPr>
              <w:t>30</w:t>
            </w:r>
            <w:r>
              <w:rPr>
                <w:rFonts w:hint="eastAsia" w:ascii="宋体" w:hAnsi="宋体" w:cs="宋体"/>
                <w:color w:val="000000"/>
                <w:kern w:val="0"/>
                <w:szCs w:val="21"/>
                <w:lang w:bidi="ar"/>
              </w:rPr>
              <w:t xml:space="preserve">分；评价为中得 </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 xml:space="preserve"> 分； </w:t>
            </w:r>
          </w:p>
          <w:p>
            <w:pPr>
              <w:widowControl/>
              <w:jc w:val="left"/>
            </w:pPr>
            <w:r>
              <w:rPr>
                <w:rFonts w:hint="eastAsia" w:ascii="宋体" w:hAnsi="宋体" w:cs="宋体"/>
                <w:color w:val="000000"/>
                <w:kern w:val="0"/>
                <w:szCs w:val="21"/>
                <w:lang w:bidi="ar"/>
              </w:rPr>
              <w:t xml:space="preserve">评价为差不得分。专家按百分制打分。如果评审为差，要 </w:t>
            </w:r>
          </w:p>
          <w:p>
            <w:pPr>
              <w:widowControl/>
              <w:jc w:val="left"/>
            </w:pPr>
            <w:r>
              <w:rPr>
                <w:rFonts w:hint="eastAsia" w:ascii="宋体" w:hAnsi="宋体" w:cs="宋体"/>
                <w:color w:val="000000"/>
                <w:kern w:val="0"/>
                <w:szCs w:val="21"/>
                <w:lang w:bidi="ar"/>
              </w:rPr>
              <w:t>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3</w:t>
            </w:r>
          </w:p>
        </w:tc>
        <w:tc>
          <w:tcPr>
            <w:tcW w:w="1672" w:type="dxa"/>
            <w:noWrap w:val="0"/>
            <w:vAlign w:val="center"/>
          </w:tcPr>
          <w:p>
            <w:pPr>
              <w:wordWrap w:val="0"/>
              <w:jc w:val="center"/>
              <w:rPr>
                <w:rFonts w:ascii="宋体" w:hAnsi="宋体" w:cs="宋体"/>
                <w:szCs w:val="21"/>
              </w:rPr>
            </w:pPr>
            <w:r>
              <w:rPr>
                <w:rFonts w:hint="eastAsia" w:ascii="宋体" w:hAnsi="宋体"/>
                <w:szCs w:val="21"/>
              </w:rPr>
              <w:t>质量保障措施及方案</w:t>
            </w:r>
          </w:p>
        </w:tc>
        <w:tc>
          <w:tcPr>
            <w:tcW w:w="756" w:type="dxa"/>
            <w:noWrap w:val="0"/>
            <w:vAlign w:val="center"/>
          </w:tcPr>
          <w:p>
            <w:pPr>
              <w:wordWrap w:val="0"/>
              <w:jc w:val="center"/>
              <w:rPr>
                <w:rFonts w:ascii="宋体" w:hAnsi="宋体" w:cs="宋体"/>
                <w:szCs w:val="21"/>
              </w:rPr>
            </w:pPr>
            <w:r>
              <w:rPr>
                <w:rFonts w:hint="eastAsia"/>
                <w:sz w:val="22"/>
                <w:szCs w:val="21"/>
                <w:lang w:val="en-US" w:eastAsia="zh-CN"/>
              </w:rPr>
              <w:t>1</w:t>
            </w:r>
            <w:r>
              <w:rPr>
                <w:rFonts w:hint="eastAsia"/>
                <w:sz w:val="22"/>
                <w:szCs w:val="21"/>
              </w:rPr>
              <w:t>5</w:t>
            </w:r>
          </w:p>
        </w:tc>
        <w:tc>
          <w:tcPr>
            <w:tcW w:w="5665" w:type="dxa"/>
            <w:noWrap w:val="0"/>
            <w:vAlign w:val="top"/>
          </w:tcPr>
          <w:p>
            <w:pPr>
              <w:widowControl/>
              <w:numPr>
                <w:ilvl w:val="0"/>
                <w:numId w:val="0"/>
              </w:numPr>
              <w:jc w:val="left"/>
              <w:rPr>
                <w:rFonts w:hint="eastAsia"/>
              </w:rPr>
            </w:pPr>
            <w:r>
              <w:rPr>
                <w:rFonts w:hint="eastAsia"/>
              </w:rPr>
              <w:t>（一）评分内容：</w:t>
            </w:r>
          </w:p>
          <w:p>
            <w:pPr>
              <w:widowControl/>
              <w:ind w:firstLine="420" w:firstLineChars="200"/>
              <w:jc w:val="left"/>
              <w:rPr>
                <w:rFonts w:hint="eastAsia"/>
              </w:rPr>
            </w:pPr>
            <w:r>
              <w:rPr>
                <w:rFonts w:hint="eastAsia"/>
              </w:rPr>
              <w:t>阐述项目质量管理制度措施；阐述项目资料、保证服务人员的稳定、保证服务的质量、成果安全性保障措施。</w:t>
            </w:r>
          </w:p>
          <w:p>
            <w:pPr>
              <w:widowControl/>
              <w:jc w:val="left"/>
              <w:rPr>
                <w:rFonts w:hint="eastAsia"/>
              </w:rPr>
            </w:pPr>
            <w:r>
              <w:rPr>
                <w:rFonts w:hint="eastAsia"/>
              </w:rPr>
              <w:t>（1）投标人具备保障项目质量的相关管理制度；</w:t>
            </w:r>
          </w:p>
          <w:p>
            <w:pPr>
              <w:widowControl/>
              <w:jc w:val="left"/>
              <w:rPr>
                <w:rFonts w:hint="eastAsia"/>
              </w:rPr>
            </w:pPr>
            <w:r>
              <w:rPr>
                <w:rFonts w:hint="eastAsia"/>
              </w:rPr>
              <w:t>（2）服务质量检查、整改方案详细，且能有效把控项目成果；</w:t>
            </w:r>
          </w:p>
          <w:p>
            <w:pPr>
              <w:widowControl/>
              <w:jc w:val="left"/>
              <w:rPr>
                <w:rFonts w:hint="eastAsia"/>
              </w:rPr>
            </w:pPr>
            <w:r>
              <w:rPr>
                <w:rFonts w:hint="eastAsia"/>
              </w:rPr>
              <w:t>（3）项目实施过程中服务人员稳定；</w:t>
            </w:r>
          </w:p>
          <w:p>
            <w:pPr>
              <w:widowControl/>
              <w:jc w:val="left"/>
              <w:rPr>
                <w:rFonts w:hint="eastAsia"/>
              </w:rPr>
            </w:pPr>
            <w:r>
              <w:rPr>
                <w:rFonts w:hint="eastAsia"/>
              </w:rPr>
              <w:t>（4）项目成果安全性保障措施成熟可靠。</w:t>
            </w:r>
          </w:p>
          <w:p>
            <w:pPr>
              <w:widowControl/>
              <w:numPr>
                <w:ilvl w:val="0"/>
                <w:numId w:val="0"/>
              </w:numPr>
              <w:jc w:val="left"/>
              <w:rPr>
                <w:rFonts w:hint="eastAsia"/>
              </w:rPr>
            </w:pPr>
            <w:r>
              <w:rPr>
                <w:rFonts w:hint="eastAsia"/>
              </w:rPr>
              <w:t>（二）评分标准：</w:t>
            </w:r>
          </w:p>
          <w:p>
            <w:pPr>
              <w:widowControl/>
              <w:ind w:firstLine="420" w:firstLineChars="200"/>
              <w:jc w:val="left"/>
              <w:rPr>
                <w:rFonts w:hint="eastAsia"/>
              </w:rPr>
            </w:pPr>
            <w:r>
              <w:rPr>
                <w:rFonts w:hint="eastAsia"/>
                <w:lang w:val="en-US" w:eastAsia="zh-CN"/>
              </w:rPr>
              <w:t>1.</w:t>
            </w:r>
            <w:r>
              <w:rPr>
                <w:rFonts w:hint="eastAsia"/>
              </w:rPr>
              <w:t>满足以上四项要求的得</w:t>
            </w:r>
            <w:r>
              <w:rPr>
                <w:rFonts w:hint="eastAsia"/>
                <w:lang w:val="en-US" w:eastAsia="zh-CN"/>
              </w:rPr>
              <w:t>60</w:t>
            </w:r>
            <w:r>
              <w:rPr>
                <w:rFonts w:hint="eastAsia"/>
              </w:rPr>
              <w:t>分，满足其中三项要求的得</w:t>
            </w:r>
            <w:r>
              <w:rPr>
                <w:rFonts w:hint="eastAsia"/>
                <w:lang w:val="en-US" w:eastAsia="zh-CN"/>
              </w:rPr>
              <w:t>40</w:t>
            </w:r>
            <w:r>
              <w:rPr>
                <w:rFonts w:hint="eastAsia"/>
              </w:rPr>
              <w:t>分，满足其中二项要求的得</w:t>
            </w:r>
            <w:r>
              <w:rPr>
                <w:rFonts w:hint="eastAsia"/>
                <w:lang w:val="en-US" w:eastAsia="zh-CN"/>
              </w:rPr>
              <w:t>20</w:t>
            </w:r>
            <w:r>
              <w:rPr>
                <w:rFonts w:hint="eastAsia"/>
              </w:rPr>
              <w:t>分，其他情况不得分。</w:t>
            </w:r>
          </w:p>
          <w:p>
            <w:pPr>
              <w:widowControl/>
              <w:ind w:firstLine="420" w:firstLineChars="200"/>
              <w:jc w:val="left"/>
            </w:pPr>
            <w:r>
              <w:rPr>
                <w:rFonts w:hint="eastAsia" w:ascii="宋体" w:hAnsi="宋体" w:cs="宋体"/>
                <w:color w:val="000000"/>
                <w:kern w:val="0"/>
                <w:szCs w:val="21"/>
                <w:lang w:bidi="ar"/>
              </w:rPr>
              <w:t xml:space="preserve">2.在此基础上，专家根据各供应商的具体响应内容按照量化的评审因素指标进一步评审： </w:t>
            </w:r>
          </w:p>
          <w:p>
            <w:pPr>
              <w:widowControl/>
              <w:jc w:val="left"/>
            </w:pPr>
            <w:r>
              <w:rPr>
                <w:rFonts w:hint="eastAsia" w:ascii="宋体" w:hAnsi="宋体" w:cs="宋体"/>
                <w:color w:val="000000"/>
                <w:kern w:val="0"/>
                <w:szCs w:val="21"/>
                <w:lang w:bidi="ar"/>
              </w:rPr>
              <w:t xml:space="preserve">优评分标准：方案符合实际、完整、规范、思路清晰，内 </w:t>
            </w:r>
          </w:p>
          <w:p>
            <w:pPr>
              <w:widowControl/>
              <w:jc w:val="left"/>
            </w:pPr>
            <w:r>
              <w:rPr>
                <w:rFonts w:hint="eastAsia" w:ascii="宋体" w:hAnsi="宋体" w:cs="宋体"/>
                <w:color w:val="000000"/>
                <w:kern w:val="0"/>
                <w:szCs w:val="21"/>
                <w:lang w:bidi="ar"/>
              </w:rPr>
              <w:t xml:space="preserve">容合理性强。 </w:t>
            </w:r>
          </w:p>
          <w:p>
            <w:pPr>
              <w:widowControl/>
              <w:jc w:val="left"/>
            </w:pPr>
            <w:r>
              <w:rPr>
                <w:rFonts w:hint="eastAsia" w:ascii="宋体" w:hAnsi="宋体" w:cs="宋体"/>
                <w:color w:val="000000"/>
                <w:kern w:val="0"/>
                <w:szCs w:val="21"/>
                <w:lang w:bidi="ar"/>
              </w:rPr>
              <w:t xml:space="preserve">良评分标准：方案较符合实际、较完整规范、思路较清晰， </w:t>
            </w:r>
          </w:p>
          <w:p>
            <w:pPr>
              <w:widowControl/>
              <w:jc w:val="left"/>
            </w:pPr>
            <w:r>
              <w:rPr>
                <w:rFonts w:hint="eastAsia" w:ascii="宋体" w:hAnsi="宋体" w:cs="宋体"/>
                <w:color w:val="000000"/>
                <w:kern w:val="0"/>
                <w:szCs w:val="21"/>
                <w:lang w:bidi="ar"/>
              </w:rPr>
              <w:t xml:space="preserve">内容合理性较强。 </w:t>
            </w:r>
          </w:p>
          <w:p>
            <w:pPr>
              <w:widowControl/>
              <w:jc w:val="left"/>
            </w:pPr>
            <w:r>
              <w:rPr>
                <w:rFonts w:hint="eastAsia" w:ascii="宋体" w:hAnsi="宋体" w:cs="宋体"/>
                <w:color w:val="000000"/>
                <w:kern w:val="0"/>
                <w:szCs w:val="21"/>
                <w:lang w:bidi="ar"/>
              </w:rPr>
              <w:t xml:space="preserve">中评分标准：方案较普通、完整性、规范性一般，思路不 </w:t>
            </w:r>
          </w:p>
          <w:p>
            <w:pPr>
              <w:widowControl/>
              <w:jc w:val="left"/>
            </w:pPr>
            <w:r>
              <w:rPr>
                <w:rFonts w:hint="eastAsia" w:ascii="宋体" w:hAnsi="宋体" w:cs="宋体"/>
                <w:color w:val="000000"/>
                <w:kern w:val="0"/>
                <w:szCs w:val="21"/>
                <w:lang w:bidi="ar"/>
              </w:rPr>
              <w:t xml:space="preserve">够清晰，内容合理性一般。 </w:t>
            </w:r>
          </w:p>
          <w:p>
            <w:pPr>
              <w:widowControl/>
              <w:jc w:val="left"/>
            </w:pPr>
            <w:r>
              <w:rPr>
                <w:rFonts w:hint="eastAsia" w:ascii="宋体" w:hAnsi="宋体" w:cs="宋体"/>
                <w:color w:val="000000"/>
                <w:kern w:val="0"/>
                <w:szCs w:val="21"/>
                <w:lang w:bidi="ar"/>
              </w:rPr>
              <w:t xml:space="preserve">差评分标准：方案不完整、不规范，思路不清晰，内容合 </w:t>
            </w:r>
          </w:p>
          <w:p>
            <w:pPr>
              <w:widowControl/>
              <w:jc w:val="left"/>
            </w:pPr>
            <w:r>
              <w:rPr>
                <w:rFonts w:hint="eastAsia" w:ascii="宋体" w:hAnsi="宋体" w:cs="宋体"/>
                <w:color w:val="000000"/>
                <w:kern w:val="0"/>
                <w:szCs w:val="21"/>
                <w:lang w:bidi="ar"/>
              </w:rPr>
              <w:t xml:space="preserve">理性较差或未提供。 </w:t>
            </w:r>
          </w:p>
          <w:p>
            <w:pPr>
              <w:widowControl/>
              <w:jc w:val="left"/>
            </w:pPr>
            <w:r>
              <w:rPr>
                <w:rFonts w:hint="eastAsia" w:ascii="宋体" w:hAnsi="宋体" w:cs="宋体"/>
                <w:color w:val="000000"/>
                <w:kern w:val="0"/>
                <w:szCs w:val="21"/>
                <w:lang w:bidi="ar"/>
              </w:rPr>
              <w:t xml:space="preserve">评价为优得 </w:t>
            </w:r>
            <w:r>
              <w:rPr>
                <w:rFonts w:hint="eastAsia" w:ascii="宋体" w:hAnsi="宋体" w:cs="宋体"/>
                <w:color w:val="000000"/>
                <w:kern w:val="0"/>
                <w:szCs w:val="21"/>
                <w:lang w:val="en-US" w:eastAsia="zh-CN" w:bidi="ar"/>
              </w:rPr>
              <w:t>40</w:t>
            </w:r>
            <w:r>
              <w:rPr>
                <w:rFonts w:hint="eastAsia" w:ascii="宋体" w:hAnsi="宋体" w:cs="宋体"/>
                <w:color w:val="000000"/>
                <w:kern w:val="0"/>
                <w:szCs w:val="21"/>
                <w:lang w:bidi="ar"/>
              </w:rPr>
              <w:t xml:space="preserve"> 分；评价为良得 </w:t>
            </w:r>
            <w:r>
              <w:rPr>
                <w:rFonts w:hint="eastAsia" w:ascii="宋体" w:hAnsi="宋体" w:cs="宋体"/>
                <w:color w:val="000000"/>
                <w:kern w:val="0"/>
                <w:szCs w:val="21"/>
                <w:lang w:val="en-US" w:eastAsia="zh-CN" w:bidi="ar"/>
              </w:rPr>
              <w:t>30</w:t>
            </w:r>
            <w:r>
              <w:rPr>
                <w:rFonts w:hint="eastAsia" w:ascii="宋体" w:hAnsi="宋体" w:cs="宋体"/>
                <w:color w:val="000000"/>
                <w:kern w:val="0"/>
                <w:szCs w:val="21"/>
                <w:lang w:bidi="ar"/>
              </w:rPr>
              <w:t xml:space="preserve">分；评价为中得 </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 xml:space="preserve"> 分； </w:t>
            </w:r>
          </w:p>
          <w:p>
            <w:pPr>
              <w:widowControl/>
              <w:jc w:val="left"/>
            </w:pPr>
            <w:r>
              <w:rPr>
                <w:rFonts w:hint="eastAsia" w:ascii="宋体" w:hAnsi="宋体" w:cs="宋体"/>
                <w:color w:val="000000"/>
                <w:kern w:val="0"/>
                <w:szCs w:val="21"/>
                <w:lang w:bidi="ar"/>
              </w:rPr>
              <w:t xml:space="preserve">评价为差不得分。专家按百分制打分。如果评审为差，要 </w:t>
            </w:r>
          </w:p>
          <w:p>
            <w:pPr>
              <w:pStyle w:val="3"/>
            </w:pPr>
            <w:r>
              <w:rPr>
                <w:rFonts w:hint="eastAsia" w:ascii="宋体" w:hAnsi="宋体" w:cs="宋体"/>
                <w:color w:val="000000"/>
                <w:kern w:val="0"/>
                <w:szCs w:val="21"/>
                <w:lang w:bidi="ar"/>
              </w:rPr>
              <w:t>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b/>
                <w:bCs/>
                <w:color w:val="0000FF"/>
                <w:sz w:val="24"/>
              </w:rPr>
            </w:pPr>
            <w:r>
              <w:rPr>
                <w:b/>
                <w:bCs/>
                <w:color w:val="0000FF"/>
              </w:rPr>
              <w:t>3</w:t>
            </w:r>
          </w:p>
        </w:tc>
        <w:tc>
          <w:tcPr>
            <w:tcW w:w="3142"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综合实力</w:t>
            </w:r>
          </w:p>
        </w:tc>
        <w:tc>
          <w:tcPr>
            <w:tcW w:w="5665"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rFonts w:hint="eastAsia"/>
                <w:b/>
                <w:bCs/>
                <w:color w:val="0000FF"/>
                <w:lang w:val="en-US" w:eastAsia="zh-CN"/>
              </w:rPr>
              <w:t>25</w:t>
            </w:r>
            <w:r>
              <w:rPr>
                <w:rFonts w:hint="eastAsia" w:ascii="Calibri" w:hAnsi="Calibri"/>
                <w:b/>
                <w:bCs/>
                <w:color w:val="0000FF"/>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8807"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cs="宋体"/>
                <w:b/>
                <w:bCs/>
                <w:color w:val="0000FF"/>
                <w:sz w:val="24"/>
              </w:rPr>
            </w:pPr>
          </w:p>
        </w:tc>
        <w:tc>
          <w:tcPr>
            <w:tcW w:w="71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序号</w:t>
            </w:r>
          </w:p>
        </w:tc>
        <w:tc>
          <w:tcPr>
            <w:tcW w:w="167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评分因素</w:t>
            </w:r>
          </w:p>
        </w:tc>
        <w:tc>
          <w:tcPr>
            <w:tcW w:w="75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权重(%)</w:t>
            </w:r>
          </w:p>
        </w:tc>
        <w:tc>
          <w:tcPr>
            <w:tcW w:w="566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w:t>
            </w:r>
          </w:p>
        </w:tc>
        <w:tc>
          <w:tcPr>
            <w:tcW w:w="1672" w:type="dxa"/>
            <w:noWrap w:val="0"/>
            <w:vAlign w:val="center"/>
          </w:tcPr>
          <w:p>
            <w:pPr>
              <w:wordWrap w:val="0"/>
              <w:jc w:val="center"/>
              <w:rPr>
                <w:rFonts w:ascii="宋体" w:hAnsi="宋体" w:cs="宋体"/>
                <w:szCs w:val="21"/>
              </w:rPr>
            </w:pPr>
            <w:r>
              <w:rPr>
                <w:rFonts w:hint="eastAsia" w:ascii="宋体" w:hAnsi="宋体"/>
                <w:szCs w:val="21"/>
              </w:rPr>
              <w:t>投标人通过相关认证情况</w:t>
            </w:r>
          </w:p>
        </w:tc>
        <w:tc>
          <w:tcPr>
            <w:tcW w:w="756" w:type="dxa"/>
            <w:noWrap w:val="0"/>
            <w:vAlign w:val="center"/>
          </w:tcPr>
          <w:p>
            <w:pPr>
              <w:wordWrap w:val="0"/>
              <w:jc w:val="center"/>
              <w:rPr>
                <w:rFonts w:hint="eastAsia" w:ascii="宋体" w:hAnsi="宋体" w:eastAsia="宋体" w:cs="宋体"/>
                <w:szCs w:val="21"/>
                <w:lang w:eastAsia="zh-CN"/>
              </w:rPr>
            </w:pPr>
            <w:r>
              <w:rPr>
                <w:rFonts w:hint="eastAsia"/>
                <w:sz w:val="22"/>
                <w:szCs w:val="21"/>
                <w:lang w:val="en-US" w:eastAsia="zh-CN"/>
              </w:rPr>
              <w:t>6</w:t>
            </w:r>
          </w:p>
        </w:tc>
        <w:tc>
          <w:tcPr>
            <w:tcW w:w="5665" w:type="dxa"/>
            <w:noWrap w:val="0"/>
            <w:vAlign w:val="top"/>
          </w:tcPr>
          <w:p>
            <w:pPr>
              <w:tabs>
                <w:tab w:val="left" w:pos="0"/>
              </w:tabs>
              <w:spacing w:line="360" w:lineRule="auto"/>
              <w:rPr>
                <w:rFonts w:hint="eastAsia" w:hAnsi="宋体"/>
                <w:b/>
                <w:szCs w:val="21"/>
              </w:rPr>
            </w:pPr>
            <w:r>
              <w:rPr>
                <w:rFonts w:hint="eastAsia" w:hAnsi="宋体"/>
                <w:b/>
                <w:szCs w:val="21"/>
              </w:rPr>
              <w:t>（一）评分内容：</w:t>
            </w:r>
          </w:p>
          <w:p>
            <w:pPr>
              <w:tabs>
                <w:tab w:val="left" w:pos="0"/>
              </w:tabs>
              <w:spacing w:line="360" w:lineRule="auto"/>
              <w:rPr>
                <w:rFonts w:hint="eastAsia" w:hAnsi="宋体"/>
                <w:bCs/>
                <w:szCs w:val="21"/>
              </w:rPr>
            </w:pPr>
            <w:r>
              <w:rPr>
                <w:rFonts w:hint="eastAsia" w:hAnsi="宋体"/>
                <w:bCs/>
                <w:szCs w:val="21"/>
              </w:rPr>
              <w:t>1.具有中国合格评定国家认可委员会颁发的《检验机构认可证书》的得</w:t>
            </w:r>
            <w:r>
              <w:rPr>
                <w:rFonts w:hint="eastAsia" w:hAnsi="宋体"/>
                <w:bCs/>
                <w:szCs w:val="21"/>
                <w:lang w:val="en-US" w:eastAsia="zh-CN"/>
              </w:rPr>
              <w:t>50</w:t>
            </w:r>
            <w:r>
              <w:rPr>
                <w:rFonts w:hint="eastAsia" w:hAnsi="宋体"/>
                <w:bCs/>
                <w:szCs w:val="21"/>
              </w:rPr>
              <w:t>分；</w:t>
            </w:r>
          </w:p>
          <w:p>
            <w:pPr>
              <w:tabs>
                <w:tab w:val="left" w:pos="0"/>
              </w:tabs>
              <w:spacing w:line="360" w:lineRule="auto"/>
              <w:rPr>
                <w:rFonts w:hint="eastAsia" w:hAnsi="宋体"/>
                <w:b/>
                <w:szCs w:val="21"/>
              </w:rPr>
            </w:pPr>
            <w:r>
              <w:rPr>
                <w:rFonts w:hint="eastAsia" w:hAnsi="宋体"/>
                <w:b/>
                <w:szCs w:val="21"/>
              </w:rPr>
              <w:t>2.</w:t>
            </w:r>
            <w:r>
              <w:rPr>
                <w:rFonts w:hint="eastAsia" w:hAnsi="宋体"/>
                <w:bCs/>
                <w:szCs w:val="21"/>
              </w:rPr>
              <w:t>具有省级市场监督管理局颁发的《资质认定授权证书》的得</w:t>
            </w:r>
            <w:r>
              <w:rPr>
                <w:rFonts w:hint="eastAsia" w:hAnsi="宋体"/>
                <w:bCs/>
                <w:szCs w:val="21"/>
                <w:lang w:val="en-US" w:eastAsia="zh-CN"/>
              </w:rPr>
              <w:t>50</w:t>
            </w:r>
            <w:r>
              <w:rPr>
                <w:rFonts w:hint="eastAsia" w:hAnsi="宋体"/>
                <w:bCs/>
                <w:szCs w:val="21"/>
              </w:rPr>
              <w:t>分。</w:t>
            </w:r>
          </w:p>
          <w:p>
            <w:pPr>
              <w:tabs>
                <w:tab w:val="left" w:pos="0"/>
              </w:tabs>
              <w:spacing w:line="360" w:lineRule="auto"/>
              <w:rPr>
                <w:rFonts w:hint="eastAsia" w:hAnsi="宋体"/>
                <w:bCs/>
                <w:szCs w:val="21"/>
              </w:rPr>
            </w:pPr>
            <w:r>
              <w:rPr>
                <w:rFonts w:hint="eastAsia" w:hAnsi="宋体"/>
                <w:bCs/>
                <w:szCs w:val="21"/>
              </w:rPr>
              <w:t>以上2项累计得分，最高</w:t>
            </w:r>
            <w:r>
              <w:rPr>
                <w:rFonts w:hint="eastAsia" w:hAnsi="宋体"/>
                <w:bCs/>
                <w:szCs w:val="21"/>
                <w:lang w:val="en-US" w:eastAsia="zh-CN"/>
              </w:rPr>
              <w:t>100</w:t>
            </w:r>
            <w:r>
              <w:rPr>
                <w:rFonts w:hint="eastAsia" w:hAnsi="宋体"/>
                <w:bCs/>
                <w:szCs w:val="21"/>
              </w:rPr>
              <w:t>分。</w:t>
            </w:r>
          </w:p>
          <w:p>
            <w:pPr>
              <w:tabs>
                <w:tab w:val="left" w:pos="0"/>
              </w:tabs>
              <w:spacing w:line="360" w:lineRule="auto"/>
              <w:rPr>
                <w:rFonts w:hint="eastAsia" w:hAnsi="宋体"/>
                <w:b/>
                <w:szCs w:val="21"/>
              </w:rPr>
            </w:pPr>
            <w:r>
              <w:rPr>
                <w:rFonts w:hint="eastAsia" w:hAnsi="宋体"/>
                <w:b/>
                <w:szCs w:val="21"/>
              </w:rPr>
              <w:t>（二）评分依据：</w:t>
            </w:r>
          </w:p>
          <w:p>
            <w:pPr>
              <w:tabs>
                <w:tab w:val="left" w:pos="0"/>
              </w:tabs>
              <w:spacing w:line="360" w:lineRule="auto"/>
              <w:rPr>
                <w:rFonts w:hint="eastAsia" w:hAnsi="宋体"/>
                <w:bCs/>
                <w:szCs w:val="21"/>
              </w:rPr>
            </w:pPr>
            <w:r>
              <w:rPr>
                <w:rFonts w:hint="eastAsia" w:hAnsi="宋体"/>
                <w:bCs/>
                <w:szCs w:val="21"/>
              </w:rPr>
              <w:t>1.要求提供有效的认证证书作为得分依据。</w:t>
            </w:r>
          </w:p>
          <w:p>
            <w:pPr>
              <w:tabs>
                <w:tab w:val="left" w:pos="0"/>
              </w:tabs>
              <w:spacing w:line="360" w:lineRule="auto"/>
              <w:rPr>
                <w:rFonts w:hint="eastAsia" w:hAnsi="宋体"/>
                <w:bCs/>
                <w:szCs w:val="21"/>
              </w:rPr>
            </w:pPr>
            <w:r>
              <w:rPr>
                <w:rFonts w:hint="eastAsia" w:hAnsi="宋体"/>
                <w:bCs/>
                <w:szCs w:val="21"/>
              </w:rPr>
              <w:t>2.以上资料均要求提供扫描件（或官方网站截图）加盖投标人公章作为得分依据，原件备查。</w:t>
            </w:r>
          </w:p>
          <w:p>
            <w:pPr>
              <w:widowControl/>
              <w:jc w:val="left"/>
              <w:rPr>
                <w:rFonts w:ascii="宋体" w:hAnsi="宋体" w:cs="宋体"/>
                <w:szCs w:val="21"/>
              </w:rPr>
            </w:pPr>
            <w:r>
              <w:rPr>
                <w:rFonts w:hint="eastAsia" w:hAnsi="宋体"/>
                <w:bCs/>
                <w:szCs w:val="21"/>
              </w:rPr>
              <w:t>3.评分中出现无证明资料或专家无法凭所提供资料判断是否得分的情况，一律作不得分处理。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2</w:t>
            </w:r>
          </w:p>
        </w:tc>
        <w:tc>
          <w:tcPr>
            <w:tcW w:w="1672" w:type="dxa"/>
            <w:noWrap w:val="0"/>
            <w:vAlign w:val="center"/>
          </w:tcPr>
          <w:p>
            <w:pPr>
              <w:wordWrap w:val="0"/>
              <w:jc w:val="center"/>
              <w:rPr>
                <w:rFonts w:ascii="宋体" w:hAnsi="宋体" w:cs="宋体"/>
                <w:szCs w:val="21"/>
              </w:rPr>
            </w:pPr>
            <w:r>
              <w:rPr>
                <w:rFonts w:hint="eastAsia" w:ascii="宋体" w:hAnsi="宋体"/>
                <w:szCs w:val="21"/>
              </w:rPr>
              <w:t>投标人同类项目案例</w:t>
            </w:r>
          </w:p>
        </w:tc>
        <w:tc>
          <w:tcPr>
            <w:tcW w:w="756" w:type="dxa"/>
            <w:noWrap w:val="0"/>
            <w:vAlign w:val="center"/>
          </w:tcPr>
          <w:p>
            <w:pPr>
              <w:wordWrap w:val="0"/>
              <w:jc w:val="center"/>
              <w:rPr>
                <w:rFonts w:hint="default" w:ascii="宋体" w:hAnsi="宋体" w:eastAsia="宋体" w:cs="宋体"/>
                <w:szCs w:val="21"/>
                <w:lang w:val="en-US" w:eastAsia="zh-CN"/>
              </w:rPr>
            </w:pPr>
            <w:r>
              <w:rPr>
                <w:rFonts w:hint="eastAsia" w:ascii="宋体" w:hAnsi="宋体"/>
                <w:szCs w:val="21"/>
                <w:lang w:val="en-US" w:eastAsia="zh-CN"/>
              </w:rPr>
              <w:t>10</w:t>
            </w:r>
          </w:p>
        </w:tc>
        <w:tc>
          <w:tcPr>
            <w:tcW w:w="5665" w:type="dxa"/>
            <w:noWrap w:val="0"/>
            <w:vAlign w:val="top"/>
          </w:tcPr>
          <w:p>
            <w:pPr>
              <w:spacing w:line="360" w:lineRule="auto"/>
              <w:rPr>
                <w:rFonts w:hint="eastAsia"/>
                <w:b/>
                <w:szCs w:val="21"/>
              </w:rPr>
            </w:pPr>
            <w:r>
              <w:rPr>
                <w:rFonts w:hint="eastAsia"/>
                <w:b/>
                <w:szCs w:val="21"/>
              </w:rPr>
              <w:t>一、评分内容：</w:t>
            </w:r>
          </w:p>
          <w:p>
            <w:pPr>
              <w:tabs>
                <w:tab w:val="left" w:pos="0"/>
              </w:tabs>
              <w:spacing w:line="360" w:lineRule="auto"/>
              <w:ind w:firstLine="420" w:firstLineChars="200"/>
              <w:rPr>
                <w:rFonts w:hint="eastAsia" w:hAnsi="宋体" w:eastAsia="宋体" w:cs="Times New Roman"/>
                <w:bCs/>
                <w:szCs w:val="21"/>
              </w:rPr>
            </w:pPr>
            <w:r>
              <w:rPr>
                <w:rFonts w:hint="eastAsia" w:hAnsi="宋体" w:eastAsia="宋体" w:cs="Times New Roman"/>
                <w:bCs/>
                <w:szCs w:val="21"/>
              </w:rPr>
              <w:t>投标人 2020年 1月1日至本项目开标之日（以合同签订日期为准）承担过行政或事业单位物业服务项目业绩情况：每提供一个项目业绩得</w:t>
            </w:r>
            <w:r>
              <w:rPr>
                <w:rFonts w:hint="eastAsia" w:hAnsi="宋体" w:eastAsia="宋体" w:cs="Times New Roman"/>
                <w:bCs/>
                <w:szCs w:val="21"/>
                <w:lang w:val="en-US" w:eastAsia="zh-CN"/>
              </w:rPr>
              <w:t>20</w:t>
            </w:r>
            <w:r>
              <w:rPr>
                <w:rFonts w:hint="eastAsia" w:hAnsi="宋体" w:eastAsia="宋体" w:cs="Times New Roman"/>
                <w:bCs/>
                <w:szCs w:val="21"/>
              </w:rPr>
              <w:t xml:space="preserve">分，最高得100分。 </w:t>
            </w:r>
          </w:p>
          <w:p>
            <w:pPr>
              <w:widowControl/>
              <w:spacing w:line="360" w:lineRule="auto"/>
              <w:jc w:val="left"/>
              <w:rPr>
                <w:rFonts w:hint="eastAsia" w:ascii="宋体" w:hAnsi="宋体" w:cs="宋体"/>
                <w:b/>
                <w:kern w:val="0"/>
                <w:szCs w:val="21"/>
              </w:rPr>
            </w:pPr>
            <w:r>
              <w:rPr>
                <w:rFonts w:hint="eastAsia" w:ascii="宋体" w:hAnsi="宋体" w:cs="宋体"/>
                <w:b/>
                <w:kern w:val="0"/>
                <w:szCs w:val="21"/>
              </w:rPr>
              <w:t>二、评分依据：</w:t>
            </w:r>
          </w:p>
          <w:p>
            <w:pPr>
              <w:tabs>
                <w:tab w:val="left" w:pos="0"/>
              </w:tabs>
              <w:spacing w:line="360" w:lineRule="auto"/>
              <w:rPr>
                <w:rFonts w:hAnsi="宋体"/>
                <w:szCs w:val="21"/>
              </w:rPr>
            </w:pPr>
            <w:r>
              <w:rPr>
                <w:rFonts w:hint="eastAsia" w:hAnsi="宋体"/>
                <w:szCs w:val="21"/>
              </w:rPr>
              <w:t>1、要求同时提供合同关键信息和项目履约（验收）合格评价证明文件作为得分依据。</w:t>
            </w:r>
          </w:p>
          <w:p>
            <w:pPr>
              <w:tabs>
                <w:tab w:val="left" w:pos="0"/>
              </w:tabs>
              <w:spacing w:line="360" w:lineRule="auto"/>
              <w:rPr>
                <w:rFonts w:hAnsi="宋体"/>
                <w:szCs w:val="21"/>
              </w:rPr>
            </w:pPr>
            <w:r>
              <w:rPr>
                <w:rFonts w:hint="eastAsia" w:hAnsi="宋体"/>
                <w:szCs w:val="21"/>
              </w:rPr>
              <w:t>2、通过合同关键信息无法判断是否得分的，还须同时提供能证明得分的其它证明资料，如项目报告或合同甲方出具的证明文件等。</w:t>
            </w:r>
          </w:p>
          <w:p>
            <w:pPr>
              <w:widowControl/>
              <w:jc w:val="left"/>
              <w:rPr>
                <w:rFonts w:hAnsi="宋体"/>
                <w:szCs w:val="21"/>
              </w:rPr>
            </w:pPr>
            <w:r>
              <w:rPr>
                <w:rFonts w:hint="eastAsia" w:hAnsi="宋体"/>
                <w:szCs w:val="21"/>
              </w:rPr>
              <w:t>3、以上资料均要求提供扫描件，原件备查。</w:t>
            </w:r>
            <w:r>
              <w:rPr>
                <w:rFonts w:hAnsi="宋体"/>
                <w:szCs w:val="21"/>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4</w:t>
            </w:r>
          </w:p>
        </w:tc>
        <w:tc>
          <w:tcPr>
            <w:tcW w:w="1672" w:type="dxa"/>
            <w:noWrap w:val="0"/>
            <w:vAlign w:val="center"/>
          </w:tcPr>
          <w:p>
            <w:pPr>
              <w:wordWrap w:val="0"/>
              <w:jc w:val="center"/>
              <w:rPr>
                <w:sz w:val="22"/>
                <w:szCs w:val="21"/>
              </w:rPr>
            </w:pPr>
            <w:r>
              <w:rPr>
                <w:rFonts w:hint="eastAsia" w:ascii="宋体" w:hAnsi="宋体"/>
                <w:szCs w:val="21"/>
              </w:rPr>
              <w:t>拟安排的项目负责人情况</w:t>
            </w:r>
          </w:p>
        </w:tc>
        <w:tc>
          <w:tcPr>
            <w:tcW w:w="756" w:type="dxa"/>
            <w:noWrap w:val="0"/>
            <w:vAlign w:val="center"/>
          </w:tcPr>
          <w:p>
            <w:pPr>
              <w:wordWrap w:val="0"/>
              <w:jc w:val="center"/>
              <w:rPr>
                <w:rFonts w:hint="default" w:eastAsia="宋体"/>
                <w:sz w:val="22"/>
                <w:szCs w:val="21"/>
                <w:lang w:val="en-US" w:eastAsia="zh-CN"/>
              </w:rPr>
            </w:pPr>
            <w:r>
              <w:rPr>
                <w:rFonts w:hint="eastAsia" w:ascii="宋体" w:hAnsi="宋体"/>
                <w:szCs w:val="21"/>
                <w:lang w:val="en-US" w:eastAsia="zh-CN"/>
              </w:rPr>
              <w:t>5</w:t>
            </w:r>
          </w:p>
        </w:tc>
        <w:tc>
          <w:tcPr>
            <w:tcW w:w="5665" w:type="dxa"/>
            <w:noWrap w:val="0"/>
            <w:vAlign w:val="top"/>
          </w:tcPr>
          <w:p>
            <w:pPr>
              <w:spacing w:line="360" w:lineRule="auto"/>
              <w:rPr>
                <w:rFonts w:hint="eastAsia"/>
                <w:b/>
                <w:szCs w:val="21"/>
              </w:rPr>
            </w:pPr>
            <w:r>
              <w:rPr>
                <w:rFonts w:hint="eastAsia"/>
                <w:b/>
                <w:szCs w:val="21"/>
              </w:rPr>
              <w:t>一、评分内容：</w:t>
            </w:r>
          </w:p>
          <w:p>
            <w:pPr>
              <w:tabs>
                <w:tab w:val="left" w:pos="0"/>
              </w:tabs>
              <w:spacing w:line="360" w:lineRule="auto"/>
              <w:rPr>
                <w:rFonts w:hint="eastAsia" w:hAnsi="宋体"/>
                <w:szCs w:val="21"/>
              </w:rPr>
            </w:pPr>
            <w:r>
              <w:rPr>
                <w:rFonts w:hint="eastAsia" w:hAnsi="宋体"/>
                <w:szCs w:val="21"/>
              </w:rPr>
              <w:t>1、项目负责人具有硕士学位的得</w:t>
            </w:r>
            <w:r>
              <w:rPr>
                <w:rFonts w:hint="eastAsia" w:hAnsi="宋体"/>
                <w:szCs w:val="21"/>
                <w:lang w:val="en-US" w:eastAsia="zh-CN"/>
              </w:rPr>
              <w:t>30</w:t>
            </w:r>
            <w:r>
              <w:rPr>
                <w:rFonts w:hint="eastAsia" w:hAnsi="宋体"/>
                <w:szCs w:val="21"/>
              </w:rPr>
              <w:t>分，具有博士或以上学位的得</w:t>
            </w:r>
            <w:r>
              <w:rPr>
                <w:rFonts w:hint="eastAsia" w:hAnsi="宋体"/>
                <w:szCs w:val="21"/>
                <w:lang w:val="en-US" w:eastAsia="zh-CN"/>
              </w:rPr>
              <w:t>50</w:t>
            </w:r>
            <w:r>
              <w:rPr>
                <w:rFonts w:hint="eastAsia" w:hAnsi="宋体"/>
                <w:szCs w:val="21"/>
              </w:rPr>
              <w:t>分；</w:t>
            </w:r>
          </w:p>
          <w:p>
            <w:pPr>
              <w:tabs>
                <w:tab w:val="left" w:pos="0"/>
              </w:tabs>
              <w:spacing w:line="360" w:lineRule="auto"/>
              <w:rPr>
                <w:rFonts w:hint="eastAsia" w:hAnsi="宋体"/>
                <w:szCs w:val="21"/>
              </w:rPr>
            </w:pPr>
            <w:r>
              <w:rPr>
                <w:rFonts w:hint="eastAsia" w:hAnsi="宋体"/>
                <w:szCs w:val="21"/>
              </w:rPr>
              <w:t>2、具有副高级职称的得</w:t>
            </w:r>
            <w:r>
              <w:rPr>
                <w:rFonts w:hint="eastAsia" w:hAnsi="宋体"/>
                <w:szCs w:val="21"/>
                <w:lang w:val="en-US" w:eastAsia="zh-CN"/>
              </w:rPr>
              <w:t>30</w:t>
            </w:r>
            <w:r>
              <w:rPr>
                <w:rFonts w:hint="eastAsia" w:hAnsi="宋体"/>
                <w:szCs w:val="21"/>
              </w:rPr>
              <w:t>分；</w:t>
            </w:r>
            <w:r>
              <w:rPr>
                <w:rFonts w:hAnsi="宋体"/>
                <w:szCs w:val="21"/>
              </w:rPr>
              <w:t>具备正高级</w:t>
            </w:r>
            <w:r>
              <w:rPr>
                <w:rFonts w:hint="eastAsia" w:hAnsi="宋体"/>
                <w:szCs w:val="21"/>
              </w:rPr>
              <w:t>或以上</w:t>
            </w:r>
            <w:r>
              <w:rPr>
                <w:rFonts w:hAnsi="宋体"/>
                <w:szCs w:val="21"/>
              </w:rPr>
              <w:t>职称的</w:t>
            </w:r>
            <w:r>
              <w:rPr>
                <w:rFonts w:hint="eastAsia" w:hAnsi="宋体"/>
                <w:szCs w:val="21"/>
              </w:rPr>
              <w:t>得</w:t>
            </w:r>
            <w:r>
              <w:rPr>
                <w:rFonts w:hint="eastAsia" w:hAnsi="宋体"/>
                <w:szCs w:val="21"/>
                <w:lang w:val="en-US" w:eastAsia="zh-CN"/>
              </w:rPr>
              <w:t>50</w:t>
            </w:r>
            <w:r>
              <w:rPr>
                <w:rFonts w:hint="eastAsia" w:hAnsi="宋体"/>
                <w:szCs w:val="21"/>
              </w:rPr>
              <w:t>分；</w:t>
            </w:r>
          </w:p>
          <w:p>
            <w:pPr>
              <w:tabs>
                <w:tab w:val="left" w:pos="0"/>
              </w:tabs>
              <w:spacing w:line="360" w:lineRule="auto"/>
              <w:ind w:firstLine="420" w:firstLineChars="200"/>
              <w:rPr>
                <w:rFonts w:hint="eastAsia" w:hAnsi="宋体"/>
                <w:szCs w:val="21"/>
              </w:rPr>
            </w:pPr>
            <w:r>
              <w:rPr>
                <w:rFonts w:hint="eastAsia" w:hAnsi="宋体"/>
                <w:szCs w:val="21"/>
              </w:rPr>
              <w:t>以上2项累计相加，满分</w:t>
            </w:r>
            <w:r>
              <w:rPr>
                <w:rFonts w:hint="eastAsia" w:hAnsi="宋体"/>
                <w:szCs w:val="21"/>
                <w:lang w:val="en-US" w:eastAsia="zh-CN"/>
              </w:rPr>
              <w:t>100</w:t>
            </w:r>
            <w:r>
              <w:rPr>
                <w:rFonts w:hint="eastAsia" w:hAnsi="宋体"/>
                <w:szCs w:val="21"/>
              </w:rPr>
              <w:t>分。</w:t>
            </w:r>
          </w:p>
          <w:p>
            <w:pPr>
              <w:widowControl/>
              <w:spacing w:line="360" w:lineRule="auto"/>
              <w:jc w:val="left"/>
              <w:rPr>
                <w:rFonts w:hint="eastAsia" w:ascii="宋体" w:hAnsi="宋体" w:cs="宋体"/>
                <w:b/>
                <w:kern w:val="0"/>
                <w:szCs w:val="21"/>
              </w:rPr>
            </w:pPr>
            <w:r>
              <w:rPr>
                <w:rFonts w:hint="eastAsia" w:ascii="宋体" w:hAnsi="宋体" w:cs="宋体"/>
                <w:b/>
                <w:kern w:val="0"/>
                <w:szCs w:val="21"/>
              </w:rPr>
              <w:t>二、评分依据：</w:t>
            </w:r>
          </w:p>
          <w:p>
            <w:pPr>
              <w:widowControl/>
              <w:rPr>
                <w:rFonts w:hint="eastAsia" w:ascii="宋体" w:hAnsi="宋体" w:cs="宋体"/>
                <w:color w:val="000000"/>
                <w:kern w:val="0"/>
                <w:szCs w:val="21"/>
                <w:lang w:bidi="ar"/>
              </w:rPr>
            </w:pPr>
            <w:r>
              <w:rPr>
                <w:rFonts w:hint="eastAsia" w:ascii="宋体" w:hAnsi="宋体" w:cs="宋体"/>
                <w:color w:val="000000"/>
                <w:kern w:val="0"/>
                <w:szCs w:val="21"/>
                <w:lang w:bidi="ar"/>
              </w:rPr>
              <w:t>1.提供通过投标人缴纳的近三个月的任意一个月的社保证明作为本单位员工的证明依据。另，若供应商成立不足三个月的，需提供说明函（格式自拟），无需提供社保，亦可得分。</w:t>
            </w:r>
          </w:p>
          <w:p>
            <w:pPr>
              <w:widowControl/>
              <w:rPr>
                <w:rFonts w:hint="eastAsia" w:hAnsi="宋体"/>
                <w:szCs w:val="21"/>
              </w:rPr>
            </w:pPr>
            <w:r>
              <w:rPr>
                <w:rFonts w:hint="eastAsia" w:hAnsi="宋体"/>
                <w:szCs w:val="21"/>
              </w:rPr>
              <w:t>2、提供团队成员的名单及相关证书扫描件（原件备查）。</w:t>
            </w:r>
          </w:p>
          <w:p>
            <w:pPr>
              <w:widowControl/>
              <w:jc w:val="left"/>
            </w:pPr>
            <w:r>
              <w:rPr>
                <w:rFonts w:hint="eastAsia" w:ascii="宋体" w:hAnsi="宋体" w:cs="宋体"/>
                <w:color w:val="000000"/>
                <w:kern w:val="0"/>
                <w:szCs w:val="21"/>
                <w:lang w:bidi="ar"/>
              </w:rPr>
              <w:t>3.以上资料均要求提供扫描件（或官方网站截图），原件备查。如证书颁发机构为协会的，同时提供全国社会组织信用信息公示平台（https://xxgs.chinanpo.mca.gov.cn/gsxt/newList）登记信息状态“正常”的网站截图，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cs="宋体"/>
                <w:szCs w:val="21"/>
              </w:rPr>
            </w:pPr>
          </w:p>
        </w:tc>
        <w:tc>
          <w:tcPr>
            <w:tcW w:w="1672" w:type="dxa"/>
            <w:noWrap w:val="0"/>
            <w:vAlign w:val="center"/>
          </w:tcPr>
          <w:p>
            <w:pPr>
              <w:wordWrap w:val="0"/>
              <w:jc w:val="center"/>
              <w:rPr>
                <w:rFonts w:hint="eastAsia" w:ascii="宋体" w:hAnsi="宋体"/>
                <w:szCs w:val="21"/>
              </w:rPr>
            </w:pPr>
            <w:r>
              <w:rPr>
                <w:rFonts w:hint="eastAsia" w:ascii="宋体" w:hAnsi="宋体"/>
                <w:szCs w:val="21"/>
              </w:rPr>
              <w:t>拟安排的项目团队成员（项目负责人除外）情况</w:t>
            </w:r>
          </w:p>
        </w:tc>
        <w:tc>
          <w:tcPr>
            <w:tcW w:w="756" w:type="dxa"/>
            <w:noWrap w:val="0"/>
            <w:vAlign w:val="center"/>
          </w:tcPr>
          <w:p>
            <w:pPr>
              <w:wordWrap w:val="0"/>
              <w:jc w:val="center"/>
              <w:rPr>
                <w:rFonts w:hint="eastAsia" w:ascii="宋体" w:hAnsi="宋体" w:eastAsia="宋体"/>
                <w:szCs w:val="21"/>
                <w:lang w:val="en-US" w:eastAsia="zh-CN"/>
              </w:rPr>
            </w:pPr>
            <w:r>
              <w:rPr>
                <w:rFonts w:hint="eastAsia" w:ascii="宋体" w:hAnsi="宋体"/>
                <w:szCs w:val="21"/>
                <w:lang w:val="en-US" w:eastAsia="zh-CN"/>
              </w:rPr>
              <w:t>4</w:t>
            </w:r>
          </w:p>
        </w:tc>
        <w:tc>
          <w:tcPr>
            <w:tcW w:w="5665" w:type="dxa"/>
            <w:noWrap w:val="0"/>
            <w:vAlign w:val="top"/>
          </w:tcPr>
          <w:p>
            <w:pPr>
              <w:spacing w:line="360" w:lineRule="auto"/>
              <w:rPr>
                <w:rFonts w:hint="eastAsia"/>
                <w:b/>
                <w:szCs w:val="21"/>
              </w:rPr>
            </w:pPr>
            <w:r>
              <w:rPr>
                <w:rFonts w:hint="eastAsia"/>
                <w:b/>
                <w:szCs w:val="21"/>
              </w:rPr>
              <w:t>一、评分内容：</w:t>
            </w:r>
          </w:p>
          <w:p>
            <w:pPr>
              <w:tabs>
                <w:tab w:val="left" w:pos="0"/>
              </w:tabs>
              <w:spacing w:line="360" w:lineRule="auto"/>
              <w:ind w:firstLine="420" w:firstLineChars="200"/>
              <w:rPr>
                <w:rFonts w:hint="eastAsia" w:hAnsi="宋体"/>
                <w:szCs w:val="21"/>
              </w:rPr>
            </w:pPr>
            <w:r>
              <w:rPr>
                <w:rFonts w:hint="eastAsia" w:hAnsi="宋体"/>
                <w:szCs w:val="21"/>
              </w:rPr>
              <w:t>供应商需承诺参与项目调配使用的团队成员数量至少5人，且项目团队成员应具有相应品目检测能力证书并持续接受专业技术培训的人员。</w:t>
            </w:r>
          </w:p>
          <w:p>
            <w:pPr>
              <w:widowControl/>
              <w:spacing w:line="360" w:lineRule="auto"/>
              <w:jc w:val="left"/>
              <w:rPr>
                <w:rFonts w:hint="eastAsia" w:ascii="宋体" w:hAnsi="宋体" w:cs="宋体"/>
                <w:b/>
                <w:kern w:val="0"/>
                <w:szCs w:val="21"/>
              </w:rPr>
            </w:pPr>
            <w:r>
              <w:rPr>
                <w:rFonts w:hint="eastAsia" w:ascii="宋体" w:hAnsi="宋体" w:cs="宋体"/>
                <w:b/>
                <w:kern w:val="0"/>
                <w:szCs w:val="21"/>
              </w:rPr>
              <w:t>二、评分依据：</w:t>
            </w:r>
          </w:p>
          <w:p>
            <w:pPr>
              <w:widowControl/>
              <w:rPr>
                <w:rFonts w:hint="eastAsia" w:ascii="宋体" w:hAnsi="宋体" w:cs="宋体"/>
                <w:color w:val="000000"/>
                <w:kern w:val="0"/>
                <w:szCs w:val="21"/>
                <w:lang w:bidi="ar"/>
              </w:rPr>
            </w:pPr>
            <w:r>
              <w:rPr>
                <w:rFonts w:hint="eastAsia" w:ascii="宋体" w:hAnsi="宋体" w:cs="宋体"/>
                <w:color w:val="000000"/>
                <w:kern w:val="0"/>
                <w:szCs w:val="21"/>
                <w:lang w:bidi="ar"/>
              </w:rPr>
              <w:t>1.提供通过投标人缴纳的近三个月的任意一个月的社保证明作为本单位员工的证明依据。另，若供应商成立不足三个月的，需提供说明函（格式自拟），无需提供社保，亦可得分。</w:t>
            </w:r>
          </w:p>
          <w:p>
            <w:pPr>
              <w:widowControl/>
              <w:rPr>
                <w:rFonts w:hint="eastAsia" w:hAnsi="宋体"/>
                <w:szCs w:val="21"/>
              </w:rPr>
            </w:pPr>
            <w:r>
              <w:rPr>
                <w:rFonts w:hint="eastAsia" w:hAnsi="宋体"/>
                <w:szCs w:val="21"/>
              </w:rPr>
              <w:t>2、提供团队成员的名单及相关证书扫描件（原件备查）。</w:t>
            </w:r>
          </w:p>
          <w:p>
            <w:pPr>
              <w:widowControl/>
              <w:rPr>
                <w:rFonts w:hint="eastAsia" w:hAnsi="宋体"/>
                <w:szCs w:val="21"/>
              </w:rPr>
            </w:pPr>
            <w:r>
              <w:rPr>
                <w:rFonts w:hint="eastAsia" w:ascii="宋体" w:hAnsi="宋体" w:cs="宋体"/>
                <w:color w:val="000000"/>
                <w:kern w:val="0"/>
                <w:szCs w:val="21"/>
                <w:lang w:bidi="ar"/>
              </w:rPr>
              <w:t>3.以上资料均要求提供扫描件（或官方网站截图），原件备查。如证书颁发机构为协会的，同时提供全国社会组织信用信息公示平台（https://xxgs.chinanpo.mca.gov.cn/gsxt/newList）登记信息状态“正常”的网站截图，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b/>
                <w:bCs/>
                <w:color w:val="0000FF"/>
                <w:sz w:val="24"/>
              </w:rPr>
            </w:pPr>
            <w:r>
              <w:rPr>
                <w:b/>
                <w:bCs/>
                <w:color w:val="0000FF"/>
              </w:rPr>
              <w:t>4</w:t>
            </w:r>
          </w:p>
        </w:tc>
        <w:tc>
          <w:tcPr>
            <w:tcW w:w="3142"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诚信情况</w:t>
            </w:r>
          </w:p>
        </w:tc>
        <w:tc>
          <w:tcPr>
            <w:tcW w:w="5665"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5</w:t>
            </w:r>
            <w:r>
              <w:rPr>
                <w:rFonts w:hint="eastAsia"/>
                <w:b/>
                <w:bCs/>
                <w:color w:val="0000FF"/>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8807"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cs="宋体"/>
                <w:b/>
                <w:bCs/>
                <w:color w:val="0000FF"/>
                <w:sz w:val="24"/>
              </w:rPr>
            </w:pPr>
          </w:p>
        </w:tc>
        <w:tc>
          <w:tcPr>
            <w:tcW w:w="71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序号</w:t>
            </w:r>
          </w:p>
        </w:tc>
        <w:tc>
          <w:tcPr>
            <w:tcW w:w="167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评分因素</w:t>
            </w:r>
          </w:p>
        </w:tc>
        <w:tc>
          <w:tcPr>
            <w:tcW w:w="75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权重(%)</w:t>
            </w:r>
          </w:p>
        </w:tc>
        <w:tc>
          <w:tcPr>
            <w:tcW w:w="566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13"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szCs w:val="21"/>
              </w:rPr>
              <w:t>1</w:t>
            </w:r>
          </w:p>
        </w:tc>
        <w:tc>
          <w:tcPr>
            <w:tcW w:w="1672"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szCs w:val="21"/>
              </w:rPr>
              <w:t>诚信情况</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szCs w:val="21"/>
              </w:rPr>
              <w:t>5</w:t>
            </w:r>
          </w:p>
        </w:tc>
        <w:tc>
          <w:tcPr>
            <w:tcW w:w="5665" w:type="dxa"/>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cs="宋体"/>
                <w:szCs w:val="21"/>
              </w:rPr>
            </w:pPr>
            <w:r>
              <w:rPr>
                <w:szCs w:val="21"/>
              </w:rPr>
              <w:t>投标人在参与政府采购活动中存在诚信相关问题且在主管部门相关处理措施实施期限内的，本项不得分，否则得满分。投标人无需提供任何证明材料，由评审委员会</w:t>
            </w:r>
            <w:r>
              <w:rPr>
                <w:rFonts w:hint="eastAsia"/>
                <w:szCs w:val="21"/>
              </w:rPr>
              <w:t>现场系统查询</w:t>
            </w:r>
            <w:r>
              <w:rPr>
                <w:szCs w:val="21"/>
              </w:rPr>
              <w:t>相关信息。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F3E9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endnote text"/>
    <w:basedOn w:val="1"/>
    <w:unhideWhenUsed/>
    <w:qFormat/>
    <w:uiPriority w:val="99"/>
    <w:pPr>
      <w:snapToGrid w:val="0"/>
      <w:jc w:val="left"/>
    </w:pPr>
  </w:style>
  <w:style w:type="paragraph" w:styleId="4">
    <w:name w:val="Normal (Web)"/>
    <w:basedOn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马恒珠</cp:lastModifiedBy>
  <dcterms:modified xsi:type="dcterms:W3CDTF">2023-04-10T17:55:51Z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