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color w:val="auto"/>
        </w:rPr>
      </w:pPr>
      <w:bookmarkStart w:id="0" w:name="_GoBack"/>
      <w:bookmarkEnd w:id="0"/>
      <w:r>
        <w:rPr>
          <w:rFonts w:hint="eastAsia" w:ascii="宋体" w:hAnsi="宋体" w:eastAsia="宋体" w:cs="宋体"/>
          <w:b/>
          <w:bCs/>
          <w:color w:val="auto"/>
        </w:rPr>
        <w:t>招标公告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spacing w:line="400" w:lineRule="exact"/>
              <w:rPr>
                <w:rFonts w:hint="eastAsia" w:ascii="宋体" w:hAnsi="宋体" w:eastAsia="宋体" w:cs="宋体"/>
                <w:color w:val="auto"/>
                <w:sz w:val="24"/>
              </w:rPr>
            </w:pPr>
            <w:r>
              <w:rPr>
                <w:rFonts w:hint="eastAsia" w:ascii="宋体" w:hAnsi="宋体" w:eastAsia="宋体" w:cs="宋体"/>
                <w:color w:val="auto"/>
                <w:sz w:val="24"/>
              </w:rPr>
              <w:t>项目概况</w:t>
            </w:r>
          </w:p>
          <w:p>
            <w:pPr>
              <w:spacing w:line="400" w:lineRule="exact"/>
              <w:ind w:firstLine="480" w:firstLineChars="200"/>
              <w:rPr>
                <w:rFonts w:hint="eastAsia" w:ascii="宋体" w:hAnsi="宋体" w:eastAsia="宋体" w:cs="宋体"/>
                <w:color w:val="auto"/>
                <w:szCs w:val="21"/>
              </w:rPr>
            </w:pPr>
            <w:r>
              <w:rPr>
                <w:rFonts w:hint="eastAsia" w:ascii="宋体" w:hAnsi="宋体" w:cs="宋体"/>
                <w:color w:val="auto"/>
                <w:sz w:val="24"/>
                <w:u w:val="single"/>
                <w:lang w:eastAsia="zh-CN"/>
              </w:rPr>
              <w:t>深圳市民政局基建技术及造价咨询服务</w:t>
            </w:r>
            <w:r>
              <w:rPr>
                <w:rFonts w:hint="eastAsia" w:ascii="宋体" w:hAnsi="宋体" w:eastAsia="宋体" w:cs="宋体"/>
                <w:color w:val="auto"/>
                <w:sz w:val="24"/>
              </w:rPr>
              <w:t>的潜在投标人应在</w:t>
            </w:r>
            <w:r>
              <w:rPr>
                <w:rFonts w:hint="eastAsia" w:ascii="宋体" w:hAnsi="宋体" w:eastAsia="宋体" w:cs="宋体"/>
                <w:color w:val="auto"/>
                <w:sz w:val="24"/>
                <w:u w:val="single"/>
              </w:rPr>
              <w:t>友和保险经纪有限公司</w:t>
            </w:r>
            <w:r>
              <w:rPr>
                <w:rFonts w:hint="eastAsia" w:ascii="宋体" w:hAnsi="宋体" w:eastAsia="宋体" w:cs="宋体"/>
                <w:color w:val="auto"/>
                <w:sz w:val="24"/>
              </w:rPr>
              <w:t>获取招标文件，并于</w:t>
            </w:r>
            <w:r>
              <w:rPr>
                <w:rFonts w:hint="eastAsia" w:ascii="宋体" w:hAnsi="宋体" w:eastAsia="宋体" w:cs="宋体"/>
                <w:color w:val="auto"/>
                <w:sz w:val="24"/>
                <w:u w:val="single"/>
                <w:lang w:eastAsia="zh-CN"/>
              </w:rPr>
              <w:t>2023年</w:t>
            </w:r>
            <w:r>
              <w:rPr>
                <w:rFonts w:hint="eastAsia" w:ascii="宋体" w:hAnsi="宋体" w:cs="宋体"/>
                <w:color w:val="auto"/>
                <w:sz w:val="24"/>
                <w:u w:val="single"/>
                <w:lang w:val="en-US" w:eastAsia="zh-CN"/>
              </w:rPr>
              <w:t>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（北京时间）前递交投标文件。</w:t>
            </w:r>
          </w:p>
        </w:tc>
      </w:tr>
    </w:tbl>
    <w:p>
      <w:pPr>
        <w:adjustRightInd w:val="0"/>
        <w:snapToGrid w:val="0"/>
        <w:spacing w:line="360" w:lineRule="auto"/>
        <w:jc w:val="left"/>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left"/>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一、 项目基本情况</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项目名称：深圳市民政局基建技术及造价咨询服务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预算金额：人民币500,000.00元整[其中肆拾万元为基建技术及造价咨询服务费用，拾万元为造价咨询费用（按实结算）]</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最高限价：人民币500,000.00元整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采购需求：详见招标文件。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合同履行期限：详见招标文件。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left"/>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二、 申请人的资格要求：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rPr>
        <w:t>投标人必须是具有独立法人资格或为具有独立承担民事责任能力的其它组织（提供营业执照或事业单位法人证书或其他证明材料复印件加盖公章，原件备查）；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参与本项目政府采购活动时不存在被有关部门禁止参与政府采购活动且在有效期内的情况（由供应商在《政府采购投标及履约承诺函》中作出声明，加盖公章）；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具备《中华人民共和国政府采购法》第二十二条第一款的条件（由供应商在《政府采购投标及履约承诺函》中作出声明，加盖公章）；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rPr>
        <w:t>未被列入失信被执行人、重大税收违法案件当事人名单、政府采购严重违法失信行为记录名单（由供应商在《政府采购投标及履约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rPr>
        <w:t>单位法定代表人（负责人）为同一人或者存在直接控股、管理关系的不同供应商，不得同时参加本项目投标（由供应商在《政府采购投标及履约承诺函》中作出声明，加盖公章）；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rPr>
        <w:t>为本项目提供整体设计、规范编制或者项目管理、监理、检测等服务的供应商，不得参加本项目投标。（由供应商在《政府采购投标及履约承诺函》中作出声明，加盖公章）；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7.</w:t>
      </w:r>
      <w:r>
        <w:rPr>
          <w:rFonts w:hint="eastAsia" w:ascii="宋体" w:hAnsi="宋体" w:eastAsia="宋体" w:cs="宋体"/>
          <w:color w:val="auto"/>
          <w:sz w:val="24"/>
          <w:szCs w:val="24"/>
          <w:u w:val="none"/>
        </w:rPr>
        <w:t>本项目不接受联合体投标，不接受投标人选用进口产品参与投标，不允许转包分包（由供应商在《政府采购投标及履约承诺函》中作出声明，加盖公章）。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8.</w:t>
      </w:r>
      <w:r>
        <w:rPr>
          <w:rFonts w:hint="eastAsia" w:ascii="宋体" w:hAnsi="宋体" w:eastAsia="宋体" w:cs="宋体"/>
          <w:color w:val="auto"/>
          <w:sz w:val="24"/>
          <w:szCs w:val="24"/>
          <w:u w:val="none"/>
        </w:rPr>
        <w:t>本项目是否专门面向中小企业采购：否</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left"/>
        <w:textAlignment w:val="auto"/>
        <w:outlineLvl w:val="9"/>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三、 获取招标文件</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2023年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lang w:eastAsia="zh-CN"/>
        </w:rPr>
        <w:t>2023年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日止,上午9:00-11:30,下午14:00-17:00（公休日及节假日除外，招标文件中时间均为北京时间）；</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地点：深圳市福田区福田体育公园西北角友和招标代理服务中心（靠近北门）；</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报名方式：线上报名，具体操作请登录“友和招标代理服务网”（网址：http://yhzb.uho.cn/）的“重要通知”中查看《关于采用线上报名方式的通知》；</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售价：本招标文件每套售价人民币600元，售后不退；如需邮寄，均以“到付”为邮寄费的付费方式。</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招标文件售卖咨询电话：0755-83881111</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购买招标文件所需资料：</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（1）法定代表人证明书原件及身份证扫描件（加盖公章）；</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（2）法定代表人授权委托书原件及被授权人身份证扫描件（加盖公章）；</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（3）上述“二、申请人的资格要求”中第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1" w:firstLineChars="200"/>
        <w:jc w:val="left"/>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1.以上材料投标时需</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放入投标文件中作为资格审查材料。</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"mailto:2.投标报名审核通过后，招标文件电子版将通过邮箱（uhocai@163.com）发送到投标报名表上填写的邮箱中。"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2.投标报名审核通过后，招标文件电子版将通过邮箱（uhocai@163.com）发送到投标报名表上填写的邮箱中。</w:t>
      </w:r>
      <w:r>
        <w:rPr>
          <w:rFonts w:hint="eastAsia" w:ascii="宋体" w:hAnsi="宋体" w:eastAsia="宋体" w:cs="宋体"/>
          <w:color w:val="auto"/>
          <w:kern w:val="0"/>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投标人请在</w:t>
      </w:r>
      <w:r>
        <w:rPr>
          <w:rFonts w:hint="eastAsia" w:ascii="宋体" w:hAnsi="宋体" w:eastAsia="宋体" w:cs="宋体"/>
          <w:color w:val="auto"/>
          <w:kern w:val="0"/>
          <w:sz w:val="24"/>
          <w:szCs w:val="24"/>
          <w:highlight w:val="none"/>
        </w:rPr>
        <w:t>投标截止时间</w:t>
      </w:r>
      <w:r>
        <w:rPr>
          <w:rFonts w:hint="eastAsia" w:ascii="宋体" w:hAnsi="宋体" w:eastAsia="宋体" w:cs="宋体"/>
          <w:color w:val="auto"/>
          <w:kern w:val="0"/>
          <w:sz w:val="24"/>
          <w:szCs w:val="24"/>
          <w:highlight w:val="none"/>
          <w:lang w:eastAsia="zh-CN"/>
        </w:rPr>
        <w:t>前登录深圳公共资源交易网（http://www.szggzy.com/）办理供应商注册手续，以便评标时工作人员进行诚信情况查询。</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递交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文件时间：</w:t>
      </w:r>
      <w:r>
        <w:rPr>
          <w:rFonts w:hint="eastAsia" w:ascii="宋体" w:hAnsi="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:00:00-</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:30:00</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投标截止</w:t>
      </w:r>
      <w:r>
        <w:rPr>
          <w:rFonts w:hint="eastAsia" w:ascii="宋体" w:hAnsi="宋体" w:eastAsia="宋体" w:cs="宋体"/>
          <w:bCs/>
          <w:color w:val="auto"/>
          <w:sz w:val="24"/>
          <w:szCs w:val="24"/>
          <w:highlight w:val="none"/>
        </w:rPr>
        <w:t>时间：</w:t>
      </w:r>
      <w:r>
        <w:rPr>
          <w:rFonts w:hint="eastAsia" w:ascii="宋体" w:hAnsi="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lang w:val="zh-CN"/>
        </w:rPr>
      </w:pPr>
      <w:r>
        <w:rPr>
          <w:rFonts w:hint="eastAsia" w:ascii="宋体" w:hAnsi="宋体" w:eastAsia="宋体" w:cs="宋体"/>
          <w:color w:val="auto"/>
          <w:sz w:val="24"/>
          <w:szCs w:val="24"/>
          <w:highlight w:val="none"/>
        </w:rPr>
        <w:t>地点：</w:t>
      </w:r>
      <w:r>
        <w:rPr>
          <w:rFonts w:hint="eastAsia" w:ascii="宋体" w:hAnsi="宋体" w:eastAsia="宋体" w:cs="宋体"/>
          <w:snapToGrid w:val="0"/>
          <w:color w:val="auto"/>
          <w:sz w:val="24"/>
          <w:szCs w:val="24"/>
          <w:highlight w:val="none"/>
          <w:lang w:val="zh-CN"/>
        </w:rPr>
        <w:t>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 其他补充事宜：</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澄清及答疑事项：</w:t>
      </w:r>
    </w:p>
    <w:p>
      <w:pPr>
        <w:pStyle w:val="2"/>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重要提示：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lang w:val="zh-CN" w:eastAsia="zh-CN" w:bidi="ar-SA"/>
        </w:rPr>
      </w:pPr>
      <w:r>
        <w:rPr>
          <w:rFonts w:hint="eastAsia" w:ascii="宋体" w:hAnsi="宋体" w:eastAsia="宋体" w:cs="宋体"/>
          <w:snapToGrid w:val="0"/>
          <w:color w:val="auto"/>
          <w:kern w:val="0"/>
          <w:sz w:val="24"/>
          <w:szCs w:val="24"/>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本项目所属行业类型为：其他未列明行业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七、对本次招标提出询问， 请按以下方式联系。</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名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称：</w:t>
      </w:r>
      <w:r>
        <w:rPr>
          <w:rFonts w:hint="eastAsia" w:ascii="宋体" w:hAnsi="宋体" w:cs="宋体"/>
          <w:color w:val="auto"/>
          <w:sz w:val="24"/>
          <w:szCs w:val="24"/>
          <w:u w:val="none"/>
          <w:lang w:eastAsia="zh-CN"/>
        </w:rPr>
        <w:t>深圳市民政局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地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址：深圳市罗湖区中民时代广场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联</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t>系</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t>人：郑工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u w:val="none"/>
        </w:rPr>
      </w:pPr>
      <w:r>
        <w:rPr>
          <w:rFonts w:hint="eastAsia" w:ascii="宋体" w:hAnsi="宋体" w:eastAsia="宋体" w:cs="宋体"/>
          <w:color w:val="auto"/>
          <w:sz w:val="24"/>
          <w:szCs w:val="24"/>
          <w:u w:val="none"/>
        </w:rPr>
        <w:t>联系方式：0755-25832771</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 xml:space="preserve">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称：友和保险经纪有限公司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地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联系方式：0755-83881281                     </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ascii="宋体" w:hAnsi="宋体" w:eastAsia="宋体" w:cs="宋体"/>
          <w:color w:val="auto"/>
          <w:sz w:val="24"/>
          <w:szCs w:val="24"/>
          <w:highlight w:val="none"/>
          <w:u w:val="none"/>
          <w:lang w:val="en-US" w:eastAsia="zh-CN"/>
        </w:rPr>
        <w:t>朴雪花</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电      话：</w:t>
      </w:r>
      <w:r>
        <w:rPr>
          <w:rFonts w:hint="eastAsia" w:ascii="宋体" w:hAnsi="宋体" w:eastAsia="宋体" w:cs="宋体"/>
          <w:color w:val="auto"/>
          <w:sz w:val="24"/>
          <w:szCs w:val="24"/>
          <w:highlight w:val="none"/>
          <w:u w:val="none"/>
          <w:lang w:val="en-US" w:eastAsia="zh-CN"/>
        </w:rPr>
        <w:t>0755-83889026</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深圳公共资源交易中心（深圳交易集团有限公司政府采购业务分公司）</w:t>
      </w:r>
      <w:r>
        <w:rPr>
          <w:rFonts w:hint="eastAsia" w:ascii="宋体" w:hAnsi="宋体" w:eastAsia="宋体" w:cs="宋体"/>
          <w:color w:val="auto"/>
          <w:sz w:val="24"/>
          <w:szCs w:val="24"/>
          <w:u w:val="single"/>
        </w:rPr>
        <w:t>http://www.szggzy.com/</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友和招标代理服务网 </w:t>
      </w:r>
      <w:r>
        <w:rPr>
          <w:rFonts w:hint="eastAsia" w:ascii="宋体" w:hAnsi="宋体" w:eastAsia="宋体" w:cs="宋体"/>
          <w:color w:val="auto"/>
          <w:sz w:val="24"/>
          <w:szCs w:val="24"/>
          <w:u w:val="none"/>
        </w:rPr>
        <w:t>http://yhzb.uho.cn/</w:t>
      </w:r>
    </w:p>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八、银行账户信息</w:t>
      </w:r>
    </w:p>
    <w:tbl>
      <w:tblPr>
        <w:tblStyle w:val="6"/>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noWrap w:val="0"/>
            <w:vAlign w:val="center"/>
          </w:tcPr>
          <w:p>
            <w:pPr>
              <w:pStyle w:val="10"/>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收款单位</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5433" w:type="dxa"/>
            <w:tcBorders>
              <w:top w:val="single" w:color="C0C0C0" w:sz="6" w:space="0"/>
              <w:left w:val="single" w:color="C0C0C0" w:sz="6" w:space="0"/>
              <w:bottom w:val="double" w:color="auto" w:sz="4" w:space="0"/>
              <w:right w:val="double" w:color="auto" w:sz="4" w:space="0"/>
            </w:tcBorders>
            <w:noWrap w:val="0"/>
            <w:vAlign w:val="center"/>
          </w:tcPr>
          <w:p>
            <w:pPr>
              <w:pStyle w:val="10"/>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1806014170017592</w:t>
            </w:r>
          </w:p>
        </w:tc>
      </w:tr>
    </w:tbl>
    <w:p>
      <w:pPr>
        <w:pStyle w:val="11"/>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rPr>
      </w:pPr>
    </w:p>
    <w:p>
      <w:pPr>
        <w:pStyle w:val="11"/>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247A52D7"/>
    <w:rsid w:val="1FE1B56A"/>
    <w:rsid w:val="247A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0"/>
      <w:sz w:val="20"/>
    </w:rPr>
  </w:style>
  <w:style w:type="paragraph" w:styleId="3">
    <w:name w:val="Body Text"/>
    <w:basedOn w:val="1"/>
    <w:next w:val="4"/>
    <w:qFormat/>
    <w:uiPriority w:val="0"/>
    <w:pPr>
      <w:spacing w:after="120"/>
    </w:pPr>
  </w:style>
  <w:style w:type="paragraph" w:styleId="4">
    <w:name w:val="Title"/>
    <w:basedOn w:val="1"/>
    <w:qFormat/>
    <w:uiPriority w:val="0"/>
    <w:pPr>
      <w:spacing w:before="240" w:after="60"/>
      <w:jc w:val="center"/>
      <w:outlineLvl w:val="0"/>
    </w:pPr>
    <w:rPr>
      <w:rFonts w:ascii="Arial" w:hAnsi="Arial" w:eastAsia="隶书" w:cs="Arial"/>
      <w:b/>
      <w:bCs/>
      <w:sz w:val="32"/>
      <w:szCs w:val="32"/>
    </w:rPr>
  </w:style>
  <w:style w:type="paragraph" w:customStyle="1" w:styleId="8">
    <w:name w:val="彩色列表 - 强调文字颜色 111"/>
    <w:basedOn w:val="1"/>
    <w:qFormat/>
    <w:uiPriority w:val="0"/>
    <w:pPr>
      <w:ind w:firstLine="420" w:firstLineChars="200"/>
    </w:pPr>
  </w:style>
  <w:style w:type="paragraph" w:styleId="9">
    <w:name w:val="List Paragraph"/>
    <w:basedOn w:val="1"/>
    <w:unhideWhenUsed/>
    <w:qFormat/>
    <w:uiPriority w:val="99"/>
    <w:pPr>
      <w:ind w:firstLine="420" w:firstLineChars="200"/>
    </w:pPr>
  </w:style>
  <w:style w:type="paragraph" w:customStyle="1" w:styleId="10">
    <w:name w:val="*正文"/>
    <w:basedOn w:val="1"/>
    <w:qFormat/>
    <w:uiPriority w:val="0"/>
    <w:pPr>
      <w:spacing w:line="360" w:lineRule="auto"/>
      <w:ind w:firstLine="200" w:firstLineChars="200"/>
    </w:pPr>
    <w:rPr>
      <w:rFonts w:ascii="宋体" w:hAnsi="宋体"/>
      <w:kern w:val="0"/>
      <w:sz w:val="22"/>
    </w:rPr>
  </w:style>
  <w:style w:type="paragraph" w:customStyle="1" w:styleId="11">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2023-02-09T16:07:00Z</dcterms:created>
  <dc:creator>WPS_1507534121</dc:creator>
  <cp:lastModifiedBy>郑锦婷</cp:lastModifiedBy>
  <dcterms:modified xsi:type="dcterms:W3CDTF">2023-02-09T17:34:29Z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71E50956DBD444CDBA9A2200B62B40AC</vt:lpwstr>
  </property>
</Properties>
</file>