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8"/>
          <w:szCs w:val="48"/>
          <w:lang w:val="en-US" w:eastAsia="zh-CN"/>
        </w:rPr>
      </w:pPr>
      <w:r>
        <w:rPr>
          <w:rFonts w:hint="eastAsia"/>
          <w:b/>
          <w:bCs/>
          <w:sz w:val="48"/>
          <w:szCs w:val="48"/>
          <w:lang w:val="en-US" w:eastAsia="zh-CN"/>
        </w:rPr>
        <w:t>评分标准</w:t>
      </w:r>
    </w:p>
    <w:tbl>
      <w:tblPr>
        <w:tblStyle w:val="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31"/>
        <w:gridCol w:w="1623"/>
        <w:gridCol w:w="925"/>
        <w:gridCol w:w="1235"/>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4514" w:type="dxa"/>
            <w:gridSpan w:val="4"/>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评分项</w:t>
            </w:r>
          </w:p>
        </w:tc>
        <w:tc>
          <w:tcPr>
            <w:tcW w:w="3790"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1</w:t>
            </w:r>
          </w:p>
        </w:tc>
        <w:tc>
          <w:tcPr>
            <w:tcW w:w="4514" w:type="dxa"/>
            <w:gridSpan w:val="4"/>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lang w:val="en-US" w:eastAsia="zh-Hans"/>
              </w:rPr>
            </w:pPr>
            <w:r>
              <w:rPr>
                <w:rFonts w:hint="eastAsia" w:ascii="仿宋" w:hAnsi="仿宋" w:eastAsia="仿宋" w:cs="仿宋"/>
                <w:b/>
                <w:sz w:val="21"/>
                <w:szCs w:val="21"/>
              </w:rPr>
              <w:t>价格</w:t>
            </w:r>
            <w:r>
              <w:rPr>
                <w:rFonts w:hint="eastAsia" w:ascii="仿宋" w:hAnsi="仿宋" w:eastAsia="仿宋" w:cs="仿宋"/>
                <w:b/>
                <w:sz w:val="21"/>
                <w:szCs w:val="21"/>
                <w:lang w:val="en-US" w:eastAsia="zh-Hans"/>
              </w:rPr>
              <w:t>部分</w:t>
            </w:r>
          </w:p>
        </w:tc>
        <w:tc>
          <w:tcPr>
            <w:tcW w:w="3790"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p>
        </w:tc>
        <w:tc>
          <w:tcPr>
            <w:tcW w:w="8304" w:type="dxa"/>
            <w:gridSpan w:val="5"/>
            <w:vAlign w:val="center"/>
          </w:tcPr>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投标报价价格分=（评标基准价/投标报价）×20</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2</w:t>
            </w:r>
          </w:p>
        </w:tc>
        <w:tc>
          <w:tcPr>
            <w:tcW w:w="4514" w:type="dxa"/>
            <w:gridSpan w:val="4"/>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技术部分</w:t>
            </w:r>
          </w:p>
        </w:tc>
        <w:tc>
          <w:tcPr>
            <w:tcW w:w="3790"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评分因素</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评分方式</w:t>
            </w:r>
          </w:p>
        </w:tc>
        <w:tc>
          <w:tcPr>
            <w:tcW w:w="3790"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0"/>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实施方案</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（一）评审内容：</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根据投标人对食堂经营策略及管理方案的科学性、可行性及社会经济效益明显等方面进行评审，内容包括但不限于：</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1、具备建立健全独具特色的经营模式；2、具备完善的经营管理措施。</w:t>
            </w:r>
          </w:p>
          <w:p>
            <w:pPr>
              <w:pageBreakBefore w:val="0"/>
              <w:widowControl/>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（二）评分标准：</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满足以上二项要求得4分；满足以上一项要求得2分；未提供实施方案得0分；在此基础上</w:t>
            </w:r>
            <w:r>
              <w:rPr>
                <w:rFonts w:hint="eastAsia" w:ascii="仿宋" w:hAnsi="仿宋" w:eastAsia="仿宋" w:cs="仿宋"/>
                <w:sz w:val="21"/>
                <w:szCs w:val="21"/>
                <w:lang w:eastAsia="zh-Hans"/>
              </w:rPr>
              <w:t>，</w:t>
            </w:r>
            <w:r>
              <w:rPr>
                <w:rFonts w:hint="eastAsia" w:ascii="仿宋" w:hAnsi="仿宋" w:eastAsia="仿宋" w:cs="仿宋"/>
                <w:sz w:val="21"/>
                <w:szCs w:val="21"/>
              </w:rPr>
              <w:t>评审委员会根据各供应商的具体响应内容按照量化的评审因素指标进一步评审，评审为优（实施方案科学合理，内容具体完善，可行性强）的加4分；评审为良（实施方案较为科学合理，内容较为具体完善，可行性较强）的加2分；评审为中（实施方案较为科学合理，内容较为具体完善，可行性一般）的加1分；评审为差（未提供实施方案或实施方案不科学不合理，内容不完善，可行性差）的加0分；如果评审为差，要求评审委员会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服务质量保障措施</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（一）评审内容：</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lang w:bidi="ar"/>
              </w:rPr>
              <w:t>有针对本项目提供服务质量保障措施，</w:t>
            </w:r>
            <w:r>
              <w:rPr>
                <w:rFonts w:hint="eastAsia" w:ascii="仿宋" w:hAnsi="仿宋" w:eastAsia="仿宋" w:cs="仿宋"/>
                <w:sz w:val="21"/>
                <w:szCs w:val="21"/>
              </w:rPr>
              <w:t>内容包括但不限于：</w:t>
            </w:r>
          </w:p>
          <w:p>
            <w:pPr>
              <w:pageBreakBefore w:val="0"/>
              <w:numPr>
                <w:ilvl w:val="0"/>
                <w:numId w:val="1"/>
              </w:numPr>
              <w:kinsoku/>
              <w:wordWrap w:val="0"/>
              <w:overflowPunct/>
              <w:topLinePunct w:val="0"/>
              <w:bidi w:val="0"/>
              <w:snapToGrid/>
              <w:spacing w:line="240" w:lineRule="auto"/>
              <w:rPr>
                <w:rFonts w:hint="default" w:ascii="仿宋" w:hAnsi="仿宋" w:eastAsia="仿宋" w:cs="仿宋"/>
                <w:b w:val="0"/>
                <w:bCs w:val="0"/>
                <w:kern w:val="2"/>
                <w:sz w:val="21"/>
                <w:szCs w:val="21"/>
                <w:lang w:val="en-US" w:eastAsia="zh-CN" w:bidi="ar"/>
              </w:rPr>
            </w:pPr>
            <w:r>
              <w:rPr>
                <w:rFonts w:hint="eastAsia" w:ascii="仿宋" w:hAnsi="仿宋" w:eastAsia="仿宋" w:cs="仿宋"/>
                <w:sz w:val="21"/>
                <w:szCs w:val="21"/>
                <w:lang w:bidi="ar"/>
              </w:rPr>
              <w:t>能够保障服务的连贯性、改善性；（2）针对服务人员突然离岗、人员无法胜任岗位要求制定保障措施。能够保障服务的连贯性、改善性；</w:t>
            </w:r>
            <w:r>
              <w:rPr>
                <w:rFonts w:hint="eastAsia" w:ascii="仿宋" w:hAnsi="仿宋" w:eastAsia="仿宋" w:cs="仿宋"/>
                <w:sz w:val="21"/>
                <w:szCs w:val="21"/>
                <w:lang w:eastAsia="zh-CN" w:bidi="ar"/>
              </w:rPr>
              <w:t>（</w:t>
            </w:r>
            <w:r>
              <w:rPr>
                <w:rFonts w:hint="eastAsia" w:ascii="仿宋" w:hAnsi="仿宋" w:eastAsia="仿宋" w:cs="仿宋"/>
                <w:sz w:val="21"/>
                <w:szCs w:val="21"/>
                <w:lang w:val="en-US" w:eastAsia="zh-CN" w:bidi="ar"/>
              </w:rPr>
              <w:t>3</w:t>
            </w:r>
            <w:r>
              <w:rPr>
                <w:rFonts w:hint="eastAsia" w:ascii="仿宋" w:hAnsi="仿宋" w:eastAsia="仿宋" w:cs="仿宋"/>
                <w:sz w:val="21"/>
                <w:szCs w:val="21"/>
                <w:lang w:eastAsia="zh-CN" w:bidi="ar"/>
              </w:rPr>
              <w:t>）</w:t>
            </w:r>
            <w:r>
              <w:rPr>
                <w:rFonts w:hint="eastAsia" w:ascii="仿宋" w:hAnsi="仿宋" w:eastAsia="仿宋" w:cs="仿宋"/>
                <w:sz w:val="21"/>
                <w:szCs w:val="21"/>
                <w:lang w:val="en-US" w:eastAsia="zh-CN" w:bidi="ar"/>
              </w:rPr>
              <w:t>食堂工作人员不少于5人。</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（二）评分标准：</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rPr>
              <w:t>满足以上</w:t>
            </w:r>
            <w:r>
              <w:rPr>
                <w:rFonts w:hint="eastAsia" w:ascii="仿宋" w:hAnsi="仿宋" w:eastAsia="仿宋" w:cs="仿宋"/>
                <w:sz w:val="21"/>
                <w:szCs w:val="21"/>
                <w:lang w:val="en-US" w:eastAsia="zh-CN"/>
              </w:rPr>
              <w:t>三</w:t>
            </w:r>
            <w:r>
              <w:rPr>
                <w:rFonts w:hint="eastAsia" w:ascii="仿宋" w:hAnsi="仿宋" w:eastAsia="仿宋" w:cs="仿宋"/>
                <w:sz w:val="21"/>
                <w:szCs w:val="21"/>
              </w:rPr>
              <w:t>项要求得</w:t>
            </w:r>
            <w:r>
              <w:rPr>
                <w:rFonts w:hint="eastAsia" w:ascii="仿宋" w:hAnsi="仿宋" w:eastAsia="仿宋" w:cs="仿宋"/>
                <w:sz w:val="21"/>
                <w:szCs w:val="21"/>
                <w:lang w:val="en-US" w:eastAsia="zh-CN"/>
              </w:rPr>
              <w:t>6</w:t>
            </w:r>
            <w:r>
              <w:rPr>
                <w:rFonts w:hint="eastAsia" w:ascii="仿宋" w:hAnsi="仿宋" w:eastAsia="仿宋" w:cs="仿宋"/>
                <w:sz w:val="21"/>
                <w:szCs w:val="21"/>
              </w:rPr>
              <w:t>分；满足以上一项要求得2分；未提供服务质量保障措施得0分；在此基础上，评审委员会根据各供应商的具体响应内容按照量化的评审因素指标进一步评审，评审为优（服务质量保障措施科学合理，内容具体完善，可行性强）的加</w:t>
            </w:r>
            <w:r>
              <w:rPr>
                <w:rFonts w:hint="eastAsia" w:ascii="仿宋" w:hAnsi="仿宋" w:eastAsia="仿宋" w:cs="仿宋"/>
                <w:sz w:val="21"/>
                <w:szCs w:val="21"/>
                <w:lang w:val="en-US" w:eastAsia="zh-CN"/>
              </w:rPr>
              <w:t>2</w:t>
            </w:r>
            <w:r>
              <w:rPr>
                <w:rFonts w:hint="eastAsia" w:ascii="仿宋" w:hAnsi="仿宋" w:eastAsia="仿宋" w:cs="仿宋"/>
                <w:sz w:val="21"/>
                <w:szCs w:val="21"/>
              </w:rPr>
              <w:t>分；评审为良（服务质量保障措施较为科学合理，内容较为具体完善，可行性较强）的加</w:t>
            </w:r>
            <w:r>
              <w:rPr>
                <w:rFonts w:hint="eastAsia" w:ascii="仿宋" w:hAnsi="仿宋" w:eastAsia="仿宋" w:cs="仿宋"/>
                <w:sz w:val="21"/>
                <w:szCs w:val="21"/>
                <w:lang w:val="en-US" w:eastAsia="zh-CN"/>
              </w:rPr>
              <w:t>1</w:t>
            </w:r>
            <w:r>
              <w:rPr>
                <w:rFonts w:hint="eastAsia" w:ascii="仿宋" w:hAnsi="仿宋" w:eastAsia="仿宋" w:cs="仿宋"/>
                <w:sz w:val="21"/>
                <w:szCs w:val="21"/>
              </w:rPr>
              <w:t>分；评审为差（未提供服务质量保障措施或服务质量保障措施不科学不合理，内容不完善，可行性差）的加0分；如果评审为差，要求评审委员会书面说明理由，并记录在档。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Merge w:val="continue"/>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管理制度</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（一）评审内容：</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val="en-US" w:eastAsia="zh-CN" w:bidi="ar"/>
              </w:rPr>
              <w:t>为逐步完善</w:t>
            </w:r>
            <w:r>
              <w:rPr>
                <w:rFonts w:hint="eastAsia" w:ascii="仿宋" w:hAnsi="仿宋" w:eastAsia="仿宋" w:cs="仿宋"/>
                <w:sz w:val="21"/>
                <w:szCs w:val="21"/>
                <w:lang w:bidi="ar"/>
              </w:rPr>
              <w:t>本项目管理制度，</w:t>
            </w:r>
            <w:r>
              <w:rPr>
                <w:rFonts w:hint="eastAsia" w:ascii="仿宋" w:hAnsi="仿宋" w:eastAsia="仿宋" w:cs="仿宋"/>
                <w:sz w:val="21"/>
                <w:szCs w:val="21"/>
                <w:lang w:val="en-US" w:eastAsia="zh-CN" w:bidi="ar"/>
              </w:rPr>
              <w:t>提供以往项目相关范例，</w:t>
            </w:r>
            <w:r>
              <w:rPr>
                <w:rFonts w:hint="eastAsia" w:ascii="仿宋" w:hAnsi="仿宋" w:eastAsia="仿宋" w:cs="仿宋"/>
                <w:sz w:val="21"/>
                <w:szCs w:val="21"/>
                <w:lang w:bidi="ar"/>
              </w:rPr>
              <w:t>内容包括但不限于：</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（1）配备专职管理人员；</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（2）人员、岗位管理制度具备可操作性；</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（3）根据供应商食品安全保障制度、人员岗位职责；</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（4）操作规程；</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（5）劳动纪律和奖惩办法；</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（6）客户投诉反馈管理制度等</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（7）规章制度建设完善程度和制度合理性。</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（二）评分标准：</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lang w:bidi="ar"/>
              </w:rPr>
              <w:t>满足以上七项要求得4分；满足以上任意六项要求得3分；满足以上任意五项要求得2分；满足以上任意四项要求得1分；满足三项及以下或未提供实施方案得0分；在此基础上，评审委员会根据各供应商的具体响应内容按照量化的评审因素指标进一步评审，评审为优（人员、岗位管理制度内容准确完善，方案科学合理可操作性强）的得4分评审为良（人员、岗位管理制度内容准确完善，方案合理）的得3分；评审为中（人员、岗位管理制度内容基本完善）得2分；评审为差（人员、岗位管理制度内容不全有缺漏项）如果评审为差，要求评审委员会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安全方案及应急预案</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（一）评审内容：</w:t>
            </w:r>
          </w:p>
          <w:p>
            <w:pPr>
              <w:pageBreakBefore w:val="0"/>
              <w:kinsoku/>
              <w:wordWrap w:val="0"/>
              <w:overflowPunct/>
              <w:topLinePunct w:val="0"/>
              <w:bidi w:val="0"/>
              <w:snapToGrid/>
              <w:spacing w:line="240" w:lineRule="auto"/>
              <w:rPr>
                <w:rFonts w:hint="eastAsia" w:ascii="仿宋" w:hAnsi="仿宋" w:eastAsia="仿宋" w:cs="仿宋"/>
                <w:kern w:val="0"/>
                <w:sz w:val="21"/>
                <w:szCs w:val="21"/>
                <w:lang w:val="zh-CN" w:bidi="ar"/>
              </w:rPr>
            </w:pPr>
            <w:r>
              <w:rPr>
                <w:rFonts w:hint="eastAsia" w:ascii="仿宋" w:hAnsi="仿宋" w:eastAsia="仿宋" w:cs="仿宋"/>
                <w:kern w:val="0"/>
                <w:sz w:val="21"/>
                <w:szCs w:val="21"/>
                <w:lang w:val="en-US" w:eastAsia="zh-CN" w:bidi="ar"/>
              </w:rPr>
              <w:t>以往合作项目的</w:t>
            </w:r>
            <w:r>
              <w:rPr>
                <w:rFonts w:hint="eastAsia" w:ascii="仿宋" w:hAnsi="仿宋" w:eastAsia="仿宋" w:cs="仿宋"/>
                <w:kern w:val="0"/>
                <w:sz w:val="21"/>
                <w:szCs w:val="21"/>
                <w:lang w:val="zh-CN" w:bidi="ar"/>
              </w:rPr>
              <w:t>安全方案及应预案，内容包括但不限于：</w:t>
            </w:r>
          </w:p>
          <w:p>
            <w:pPr>
              <w:pageBreakBefore w:val="0"/>
              <w:kinsoku/>
              <w:wordWrap w:val="0"/>
              <w:overflowPunct/>
              <w:topLinePunct w:val="0"/>
              <w:bidi w:val="0"/>
              <w:snapToGrid/>
              <w:spacing w:line="240" w:lineRule="auto"/>
              <w:rPr>
                <w:rFonts w:hint="eastAsia" w:ascii="仿宋" w:hAnsi="仿宋" w:eastAsia="仿宋" w:cs="仿宋"/>
                <w:kern w:val="0"/>
                <w:sz w:val="21"/>
                <w:szCs w:val="21"/>
                <w:lang w:val="zh-CN" w:bidi="ar"/>
              </w:rPr>
            </w:pPr>
            <w:r>
              <w:rPr>
                <w:rFonts w:hint="eastAsia" w:ascii="仿宋" w:hAnsi="仿宋" w:eastAsia="仿宋" w:cs="仿宋"/>
                <w:kern w:val="0"/>
                <w:sz w:val="21"/>
                <w:szCs w:val="21"/>
                <w:lang w:val="zh-CN" w:bidi="ar"/>
              </w:rPr>
              <w:t>（1）食品安全、生产安全的风险分析</w:t>
            </w:r>
          </w:p>
          <w:p>
            <w:pPr>
              <w:pageBreakBefore w:val="0"/>
              <w:kinsoku/>
              <w:wordWrap w:val="0"/>
              <w:overflowPunct/>
              <w:topLinePunct w:val="0"/>
              <w:bidi w:val="0"/>
              <w:snapToGrid/>
              <w:spacing w:line="240" w:lineRule="auto"/>
              <w:rPr>
                <w:rFonts w:hint="eastAsia" w:ascii="仿宋" w:hAnsi="仿宋" w:eastAsia="仿宋" w:cs="仿宋"/>
                <w:sz w:val="21"/>
                <w:szCs w:val="21"/>
                <w:lang w:val="zh-CN" w:bidi="ar"/>
              </w:rPr>
            </w:pPr>
            <w:r>
              <w:rPr>
                <w:rFonts w:hint="eastAsia" w:ascii="仿宋" w:hAnsi="仿宋" w:eastAsia="仿宋" w:cs="仿宋"/>
                <w:sz w:val="21"/>
                <w:szCs w:val="21"/>
                <w:lang w:val="zh-CN" w:bidi="ar"/>
              </w:rPr>
              <w:t>及可行控制方案；</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val="zh-CN" w:bidi="ar"/>
              </w:rPr>
              <w:t>（2）</w:t>
            </w:r>
            <w:r>
              <w:rPr>
                <w:rFonts w:hint="eastAsia" w:ascii="仿宋" w:hAnsi="仿宋" w:eastAsia="仿宋" w:cs="仿宋"/>
                <w:sz w:val="21"/>
                <w:szCs w:val="21"/>
                <w:lang w:bidi="ar"/>
              </w:rPr>
              <w:t>针对停水、停电、厨具设备损坏等突发情况的应急用餐预案。</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（二）评分标准：</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满足以上二项要求得3分；满足以上一项要求得1分；未提供实施方案得0分；在此基础上，评审委员会根据各供应商的具体响应内容按照量化的评审因素指标进一步评审，评审为优（</w:t>
            </w:r>
            <w:r>
              <w:rPr>
                <w:rFonts w:hint="eastAsia" w:ascii="仿宋" w:hAnsi="仿宋" w:eastAsia="仿宋" w:cs="仿宋"/>
                <w:sz w:val="21"/>
                <w:szCs w:val="21"/>
              </w:rPr>
              <w:t>安全方案及应急预案</w:t>
            </w:r>
            <w:r>
              <w:rPr>
                <w:rFonts w:hint="eastAsia" w:ascii="仿宋" w:hAnsi="仿宋" w:eastAsia="仿宋" w:cs="仿宋"/>
                <w:sz w:val="21"/>
                <w:szCs w:val="21"/>
                <w:lang w:bidi="ar"/>
              </w:rPr>
              <w:t>科学合理，内容具体完善，可行性强）的加3分；评审为良（</w:t>
            </w:r>
            <w:r>
              <w:rPr>
                <w:rFonts w:hint="eastAsia" w:ascii="仿宋" w:hAnsi="仿宋" w:eastAsia="仿宋" w:cs="仿宋"/>
                <w:sz w:val="21"/>
                <w:szCs w:val="21"/>
              </w:rPr>
              <w:t>安全方案及应急预案</w:t>
            </w:r>
            <w:r>
              <w:rPr>
                <w:rFonts w:hint="eastAsia" w:ascii="仿宋" w:hAnsi="仿宋" w:eastAsia="仿宋" w:cs="仿宋"/>
                <w:sz w:val="21"/>
                <w:szCs w:val="21"/>
                <w:lang w:bidi="ar"/>
              </w:rPr>
              <w:t>较为科学合理，内容较为具体完善，可行性较强）的加2分；评审为中（</w:t>
            </w:r>
            <w:r>
              <w:rPr>
                <w:rFonts w:hint="eastAsia" w:ascii="仿宋" w:hAnsi="仿宋" w:eastAsia="仿宋" w:cs="仿宋"/>
                <w:sz w:val="21"/>
                <w:szCs w:val="21"/>
              </w:rPr>
              <w:t>安全方案及应急预案</w:t>
            </w:r>
            <w:r>
              <w:rPr>
                <w:rFonts w:hint="eastAsia" w:ascii="仿宋" w:hAnsi="仿宋" w:eastAsia="仿宋" w:cs="仿宋"/>
                <w:sz w:val="21"/>
                <w:szCs w:val="21"/>
                <w:lang w:bidi="ar"/>
              </w:rPr>
              <w:t>较为科学合理，内容较为具体完善，可行性一般）的加1分；评审为差（未提供</w:t>
            </w:r>
            <w:r>
              <w:rPr>
                <w:rFonts w:hint="eastAsia" w:ascii="仿宋" w:hAnsi="仿宋" w:eastAsia="仿宋" w:cs="仿宋"/>
                <w:sz w:val="21"/>
                <w:szCs w:val="21"/>
              </w:rPr>
              <w:t>安全方案及应急预案</w:t>
            </w:r>
            <w:r>
              <w:rPr>
                <w:rFonts w:hint="eastAsia" w:ascii="仿宋" w:hAnsi="仿宋" w:eastAsia="仿宋" w:cs="仿宋"/>
                <w:sz w:val="21"/>
                <w:szCs w:val="21"/>
                <w:lang w:bidi="ar"/>
              </w:rPr>
              <w:t>或服务质量保障措施不科学不合理，内容不完善，可行性差）的加0分；如果评审为差，要求评审委员会书面说明理由，并记录在档。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响应程度及服务承诺</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Style w:val="5"/>
              <w:pageBreakBefore w:val="0"/>
              <w:kinsoku/>
              <w:wordWrap w:val="0"/>
              <w:overflowPunct/>
              <w:topLinePunct w:val="0"/>
              <w:autoSpaceDE w:val="0"/>
              <w:autoSpaceDN w:val="0"/>
              <w:bidi w:val="0"/>
              <w:adjustRightInd w:val="0"/>
              <w:snapToGrid/>
              <w:spacing w:before="0" w:beforeAutospacing="0" w:after="0" w:afterAutospacing="0" w:line="240" w:lineRule="auto"/>
              <w:rPr>
                <w:rFonts w:hint="eastAsia" w:ascii="仿宋" w:hAnsi="仿宋" w:eastAsia="仿宋" w:cs="仿宋"/>
                <w:sz w:val="21"/>
                <w:szCs w:val="21"/>
                <w:lang w:bidi="ar"/>
              </w:rPr>
            </w:pPr>
            <w:r>
              <w:rPr>
                <w:rFonts w:hint="eastAsia" w:ascii="仿宋" w:hAnsi="仿宋" w:eastAsia="仿宋" w:cs="仿宋"/>
                <w:sz w:val="21"/>
                <w:szCs w:val="21"/>
                <w:lang w:bidi="ar"/>
              </w:rPr>
              <w:t>（一）评审内容：</w:t>
            </w:r>
          </w:p>
          <w:p>
            <w:pPr>
              <w:pStyle w:val="5"/>
              <w:pageBreakBefore w:val="0"/>
              <w:kinsoku/>
              <w:wordWrap w:val="0"/>
              <w:overflowPunct/>
              <w:topLinePunct w:val="0"/>
              <w:autoSpaceDE w:val="0"/>
              <w:autoSpaceDN w:val="0"/>
              <w:bidi w:val="0"/>
              <w:adjustRightInd w:val="0"/>
              <w:snapToGrid/>
              <w:spacing w:before="0" w:beforeAutospacing="0" w:after="0" w:afterAutospacing="0" w:line="240" w:lineRule="auto"/>
              <w:rPr>
                <w:rFonts w:hint="eastAsia" w:ascii="仿宋" w:hAnsi="仿宋" w:eastAsia="仿宋" w:cs="仿宋"/>
                <w:sz w:val="21"/>
                <w:szCs w:val="21"/>
                <w:lang w:bidi="ar"/>
              </w:rPr>
            </w:pPr>
            <w:r>
              <w:rPr>
                <w:rFonts w:hint="eastAsia" w:ascii="仿宋" w:hAnsi="仿宋" w:eastAsia="仿宋" w:cs="仿宋"/>
                <w:sz w:val="21"/>
                <w:szCs w:val="21"/>
                <w:lang w:bidi="ar"/>
              </w:rPr>
              <w:t>根据招标文件的需求和投标文件响应情况进行评分，内容包括但不限于：</w:t>
            </w:r>
          </w:p>
          <w:p>
            <w:pPr>
              <w:pStyle w:val="5"/>
              <w:pageBreakBefore w:val="0"/>
              <w:kinsoku/>
              <w:wordWrap w:val="0"/>
              <w:overflowPunct/>
              <w:topLinePunct w:val="0"/>
              <w:autoSpaceDE w:val="0"/>
              <w:autoSpaceDN w:val="0"/>
              <w:bidi w:val="0"/>
              <w:adjustRightInd w:val="0"/>
              <w:snapToGrid/>
              <w:spacing w:before="0" w:beforeAutospacing="0" w:after="0" w:afterAutospacing="0" w:line="240" w:lineRule="auto"/>
              <w:rPr>
                <w:rFonts w:hint="eastAsia" w:ascii="仿宋" w:hAnsi="仿宋" w:eastAsia="仿宋" w:cs="仿宋"/>
                <w:sz w:val="21"/>
                <w:szCs w:val="21"/>
                <w:lang w:bidi="ar"/>
              </w:rPr>
            </w:pPr>
            <w:r>
              <w:rPr>
                <w:rFonts w:hint="eastAsia" w:ascii="仿宋" w:hAnsi="仿宋" w:eastAsia="仿宋" w:cs="仿宋"/>
                <w:sz w:val="21"/>
                <w:szCs w:val="21"/>
                <w:lang w:bidi="ar"/>
              </w:rPr>
              <w:t>1）投标人承诺在中标后5日内能全部人员到位得1分；</w:t>
            </w:r>
          </w:p>
          <w:p>
            <w:pPr>
              <w:pStyle w:val="5"/>
              <w:pageBreakBefore w:val="0"/>
              <w:kinsoku/>
              <w:wordWrap w:val="0"/>
              <w:overflowPunct/>
              <w:topLinePunct w:val="0"/>
              <w:autoSpaceDE w:val="0"/>
              <w:autoSpaceDN w:val="0"/>
              <w:bidi w:val="0"/>
              <w:adjustRightInd w:val="0"/>
              <w:snapToGrid/>
              <w:spacing w:before="0" w:beforeAutospacing="0" w:after="0" w:afterAutospacing="0" w:line="240" w:lineRule="auto"/>
              <w:rPr>
                <w:rFonts w:hint="eastAsia" w:ascii="仿宋" w:hAnsi="仿宋" w:eastAsia="仿宋" w:cs="仿宋"/>
                <w:sz w:val="21"/>
                <w:szCs w:val="21"/>
                <w:lang w:bidi="ar"/>
              </w:rPr>
            </w:pPr>
            <w:r>
              <w:rPr>
                <w:rFonts w:hint="eastAsia" w:ascii="仿宋" w:hAnsi="仿宋" w:eastAsia="仿宋" w:cs="仿宋"/>
                <w:sz w:val="21"/>
                <w:szCs w:val="21"/>
                <w:lang w:bidi="ar"/>
              </w:rPr>
              <w:t>2）在服务期限内做好有关项目服务，投标人应指定专门的负责人与招标方保持联系，在规定时间内做出响应，随时解决各类问题得1分。</w:t>
            </w:r>
          </w:p>
          <w:p>
            <w:pPr>
              <w:pStyle w:val="5"/>
              <w:pageBreakBefore w:val="0"/>
              <w:kinsoku/>
              <w:wordWrap w:val="0"/>
              <w:overflowPunct/>
              <w:topLinePunct w:val="0"/>
              <w:autoSpaceDE w:val="0"/>
              <w:autoSpaceDN w:val="0"/>
              <w:bidi w:val="0"/>
              <w:adjustRightInd w:val="0"/>
              <w:snapToGrid/>
              <w:spacing w:before="0" w:beforeAutospacing="0" w:after="0" w:afterAutospacing="0" w:line="240" w:lineRule="auto"/>
              <w:rPr>
                <w:rFonts w:hint="eastAsia" w:ascii="仿宋" w:hAnsi="仿宋" w:eastAsia="仿宋" w:cs="仿宋"/>
                <w:sz w:val="21"/>
                <w:szCs w:val="21"/>
                <w:lang w:bidi="ar"/>
              </w:rPr>
            </w:pPr>
            <w:r>
              <w:rPr>
                <w:rFonts w:hint="eastAsia" w:ascii="仿宋" w:hAnsi="仿宋" w:eastAsia="仿宋" w:cs="仿宋"/>
                <w:sz w:val="21"/>
                <w:szCs w:val="21"/>
                <w:lang w:bidi="ar"/>
              </w:rPr>
              <w:t>此项最高得2分。</w:t>
            </w:r>
          </w:p>
          <w:p>
            <w:pPr>
              <w:pStyle w:val="5"/>
              <w:pageBreakBefore w:val="0"/>
              <w:kinsoku/>
              <w:wordWrap w:val="0"/>
              <w:overflowPunct/>
              <w:topLinePunct w:val="0"/>
              <w:autoSpaceDE w:val="0"/>
              <w:autoSpaceDN w:val="0"/>
              <w:bidi w:val="0"/>
              <w:adjustRightInd w:val="0"/>
              <w:snapToGrid/>
              <w:spacing w:before="0" w:beforeAutospacing="0" w:after="0" w:afterAutospacing="0" w:line="240" w:lineRule="auto"/>
              <w:rPr>
                <w:rFonts w:hint="eastAsia" w:ascii="仿宋" w:hAnsi="仿宋" w:eastAsia="仿宋" w:cs="仿宋"/>
                <w:sz w:val="21"/>
                <w:szCs w:val="21"/>
              </w:rPr>
            </w:pPr>
            <w:r>
              <w:rPr>
                <w:rFonts w:hint="eastAsia" w:ascii="仿宋" w:hAnsi="仿宋" w:eastAsia="仿宋" w:cs="仿宋"/>
                <w:sz w:val="21"/>
                <w:szCs w:val="21"/>
                <w:lang w:bidi="ar"/>
              </w:rPr>
              <w:t>投标人须按要求提供《服务承诺书》（格式自拟），否则不得分。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员工福利合理性</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Style w:val="5"/>
              <w:pageBreakBefore w:val="0"/>
              <w:kinsoku/>
              <w:wordWrap w:val="0"/>
              <w:overflowPunct/>
              <w:topLinePunct w:val="0"/>
              <w:autoSpaceDE w:val="0"/>
              <w:autoSpaceDN w:val="0"/>
              <w:bidi w:val="0"/>
              <w:adjustRightInd w:val="0"/>
              <w:snapToGrid/>
              <w:spacing w:before="0" w:beforeAutospacing="0" w:after="0" w:afterAutospacing="0" w:line="240" w:lineRule="auto"/>
              <w:rPr>
                <w:rFonts w:hint="eastAsia" w:ascii="仿宋" w:hAnsi="仿宋" w:eastAsia="仿宋" w:cs="仿宋"/>
                <w:sz w:val="21"/>
                <w:szCs w:val="21"/>
                <w:lang w:bidi="ar"/>
              </w:rPr>
            </w:pPr>
            <w:r>
              <w:rPr>
                <w:rFonts w:hint="eastAsia" w:ascii="仿宋" w:hAnsi="仿宋" w:eastAsia="仿宋" w:cs="仿宋"/>
                <w:sz w:val="21"/>
                <w:szCs w:val="21"/>
                <w:lang w:bidi="ar"/>
              </w:rPr>
              <w:t>（一）评审内容：</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根据投标文件针对本项目提供员工福利，内容包括但不限于：</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（1）员工福利；</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（2）薪酬安排。</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（二）评分标准：</w:t>
            </w:r>
          </w:p>
          <w:p>
            <w:pPr>
              <w:pageBreakBefore w:val="0"/>
              <w:kinsoku/>
              <w:wordWrap w:val="0"/>
              <w:overflowPunct/>
              <w:topLinePunct w:val="0"/>
              <w:bidi w:val="0"/>
              <w:snapToGrid/>
              <w:spacing w:line="240" w:lineRule="auto"/>
              <w:rPr>
                <w:rFonts w:hint="eastAsia" w:ascii="仿宋" w:hAnsi="仿宋" w:eastAsia="仿宋" w:cs="仿宋"/>
                <w:sz w:val="21"/>
                <w:szCs w:val="21"/>
                <w:lang w:bidi="ar"/>
              </w:rPr>
            </w:pPr>
            <w:r>
              <w:rPr>
                <w:rFonts w:hint="eastAsia" w:ascii="仿宋" w:hAnsi="仿宋" w:eastAsia="仿宋" w:cs="仿宋"/>
                <w:sz w:val="21"/>
                <w:szCs w:val="21"/>
                <w:lang w:bidi="ar"/>
              </w:rPr>
              <w:t>满足以上二项要求得2分；满足以上一项要求得1分；未提供实施方案得0分；在此基础上，评审委员会根据各供应商的具体响应内容按照量化的评审因素指标进一步评审，评审为优（员工福利、薪酬方案合理，员工福利好、薪酬占比高）的加2分；评审为良（员工福利、薪酬方案一般，员工福利一般、薪酬占比较好）的加1分分；评审为中（员工福利、薪酬方案一般，员工福利一般、薪酬占比一般）的加0.5分；评审为差（员工福利、薪酬方案较差，员工福利较差、薪酬占比较差）的加0分；如果评审为差，要求评审委员会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3</w:t>
            </w:r>
          </w:p>
        </w:tc>
        <w:tc>
          <w:tcPr>
            <w:tcW w:w="4514" w:type="dxa"/>
            <w:gridSpan w:val="4"/>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商务需求</w:t>
            </w:r>
          </w:p>
        </w:tc>
        <w:tc>
          <w:tcPr>
            <w:tcW w:w="3790"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pPr>
              <w:pageBreakBefore w:val="0"/>
              <w:kinsoku/>
              <w:wordWrap w:val="0"/>
              <w:overflowPunct/>
              <w:topLinePunct w:val="0"/>
              <w:bidi w:val="0"/>
              <w:snapToGrid/>
              <w:spacing w:line="240" w:lineRule="auto"/>
              <w:jc w:val="center"/>
              <w:outlineLvl w:val="0"/>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评分因素</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评分方式</w:t>
            </w:r>
          </w:p>
        </w:tc>
        <w:tc>
          <w:tcPr>
            <w:tcW w:w="3790"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0"/>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投标人通过相关认证情况</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（一）评分内容：</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投标人提供服务的类似食堂承包项目,在服务期间,获得由市级或市级以上食品药品监督管理局颁发的“餐饮服务食品安全等级公示”A级得4分,B级得3分,C级不得分</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 xml:space="preserve">（二）评分依据: </w:t>
            </w:r>
          </w:p>
          <w:p>
            <w:pPr>
              <w:pageBreakBefore w:val="0"/>
              <w:tabs>
                <w:tab w:val="left" w:pos="426"/>
              </w:tabs>
              <w:kinsoku/>
              <w:wordWrap w:val="0"/>
              <w:overflowPunct/>
              <w:topLinePunct w:val="0"/>
              <w:bidi w:val="0"/>
              <w:snapToGrid/>
              <w:spacing w:line="24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1.投标人须提供相关证明材料复印件加盖投标人公章（原件备查）作为得分依据；</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2.评分中出现无证明资料或评审委员会无法凭所提供资料判断是否得分的情况，一律作不得分处理。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投标人同类项目业绩情况</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8</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（一）评分内容：</w:t>
            </w:r>
          </w:p>
          <w:p>
            <w:pPr>
              <w:pStyle w:val="2"/>
              <w:pageBreakBefore w:val="0"/>
              <w:kinsoku/>
              <w:wordWrap w:val="0"/>
              <w:overflowPunct/>
              <w:topLinePunct w:val="0"/>
              <w:bidi w:val="0"/>
              <w:snapToGrid/>
              <w:spacing w:before="0" w:after="0"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投标人近三年以来承接过同类（指服务形式）食堂托管、承包经营类项目。每提供1项同类食堂餐饮服务项目经验得2分；最高得8分；</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 xml:space="preserve">（二）评分依据: </w:t>
            </w:r>
          </w:p>
          <w:p>
            <w:pPr>
              <w:pStyle w:val="2"/>
              <w:pageBreakBefore w:val="0"/>
              <w:kinsoku/>
              <w:wordWrap w:val="0"/>
              <w:overflowPunct/>
              <w:topLinePunct w:val="0"/>
              <w:bidi w:val="0"/>
              <w:snapToGrid/>
              <w:spacing w:before="0" w:after="0"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1、提供的业绩合同服务期限不少于1 年。</w:t>
            </w:r>
          </w:p>
          <w:p>
            <w:pPr>
              <w:pStyle w:val="2"/>
              <w:pageBreakBefore w:val="0"/>
              <w:kinsoku/>
              <w:wordWrap w:val="0"/>
              <w:overflowPunct/>
              <w:topLinePunct w:val="0"/>
              <w:bidi w:val="0"/>
              <w:snapToGrid/>
              <w:spacing w:before="0" w:after="0"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2、近三年同一服务单位不重复得分，</w:t>
            </w:r>
          </w:p>
          <w:p>
            <w:pPr>
              <w:pStyle w:val="2"/>
              <w:pageBreakBefore w:val="0"/>
              <w:kinsoku/>
              <w:wordWrap w:val="0"/>
              <w:overflowPunct/>
              <w:topLinePunct w:val="0"/>
              <w:bidi w:val="0"/>
              <w:snapToGrid/>
              <w:spacing w:before="0" w:after="0"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要求提供合同关键信息复印件作为得分依据（合同名称无需完全对应业绩要求字眼，只要体现相关服务内容即可得分）。</w:t>
            </w:r>
          </w:p>
          <w:p>
            <w:pPr>
              <w:pStyle w:val="2"/>
              <w:pageBreakBefore w:val="0"/>
              <w:kinsoku/>
              <w:wordWrap w:val="0"/>
              <w:overflowPunct/>
              <w:topLinePunct w:val="0"/>
              <w:bidi w:val="0"/>
              <w:snapToGrid/>
              <w:spacing w:before="0" w:after="0" w:line="240" w:lineRule="auto"/>
              <w:rPr>
                <w:rFonts w:hint="eastAsia" w:ascii="仿宋" w:hAnsi="仿宋" w:eastAsia="仿宋" w:cs="仿宋"/>
                <w:b w:val="0"/>
                <w:bCs w:val="0"/>
                <w:sz w:val="21"/>
                <w:szCs w:val="21"/>
              </w:rPr>
            </w:pPr>
            <w:r>
              <w:rPr>
                <w:rFonts w:hint="eastAsia" w:ascii="仿宋" w:hAnsi="仿宋" w:eastAsia="仿宋" w:cs="仿宋"/>
                <w:b w:val="0"/>
                <w:bCs w:val="0"/>
                <w:sz w:val="21"/>
                <w:szCs w:val="21"/>
              </w:rPr>
              <w:t>3.通过合同关键信息无法判断是否得分的，还须同时提供能证明得分的其它证明资料，如项目报告或合同甲方出具的证明文件等。</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3.以上资料均要求提供复印件，原件备查。评分中出现无证明资料或评审委员会无法凭所提供资料判断是否得分的情况，一律作不得分处理。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lang w:bidi="ar"/>
              </w:rPr>
              <w:t>履约评价</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6</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（一）评分内容：</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投标人提供的上述经评审得分的“投标人同类项目业绩情况”中，取得用户出具的履约评价且评价为优或满意的，每提供得2分，最高得6分。同一单位服务多次均评价为“优”或“满意”的，不重复计分。</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 xml:space="preserve">（二）评分依据: </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投标人提供用户出具的项目履约评价书项目履约评价优秀或满意的证明文件（履约评价书用户盖章与同类业绩合同的用户盖章须一致)；未按要求提供或提供不清晰导致评审委员会无法判断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lang w:bidi="ar"/>
              </w:rPr>
              <w:t>荣誉情况</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4</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（一）评分内容：</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投标人获得全国营养健康餐饮示范单位的称号得1分； 获得中国绿色餐饮企业的证书得1分；获得中国百强团餐企业的称号得1分；获得企业社会责任评价等级证书得1分，本项累计最高得4分。</w:t>
            </w:r>
          </w:p>
          <w:p>
            <w:pPr>
              <w:pageBreakBefore w:val="0"/>
              <w:kinsoku/>
              <w:wordWrap w:val="0"/>
              <w:overflowPunct/>
              <w:topLinePunct w:val="0"/>
              <w:bidi w:val="0"/>
              <w:snapToGrid/>
              <w:spacing w:line="240" w:lineRule="auto"/>
              <w:rPr>
                <w:rFonts w:hint="eastAsia" w:ascii="仿宋" w:hAnsi="仿宋" w:eastAsia="仿宋" w:cs="仿宋"/>
                <w:kern w:val="0"/>
                <w:sz w:val="21"/>
                <w:szCs w:val="21"/>
                <w:lang w:bidi="ar"/>
              </w:rPr>
            </w:pPr>
            <w:r>
              <w:rPr>
                <w:rFonts w:hint="eastAsia" w:ascii="仿宋" w:hAnsi="仿宋" w:eastAsia="仿宋" w:cs="仿宋"/>
                <w:sz w:val="21"/>
                <w:szCs w:val="21"/>
              </w:rPr>
              <w:t>（二）评分依据:</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kern w:val="0"/>
                <w:sz w:val="21"/>
                <w:szCs w:val="21"/>
                <w:lang w:bidi="ar"/>
              </w:rPr>
              <w:t>投标人提供行业协会颁发的荣誉证书等证明材料作为得分依据，</w:t>
            </w:r>
            <w:r>
              <w:rPr>
                <w:rFonts w:hint="eastAsia" w:ascii="仿宋" w:hAnsi="仿宋" w:eastAsia="仿宋" w:cs="仿宋"/>
                <w:sz w:val="21"/>
                <w:szCs w:val="21"/>
              </w:rPr>
              <w:t>以上资料均要求提供复印件（或官方网站截图）</w:t>
            </w:r>
            <w:r>
              <w:rPr>
                <w:rFonts w:hint="eastAsia" w:ascii="仿宋" w:hAnsi="仿宋" w:eastAsia="仿宋" w:cs="仿宋"/>
                <w:kern w:val="0"/>
                <w:sz w:val="21"/>
                <w:szCs w:val="21"/>
                <w:lang w:bidi="ar"/>
              </w:rPr>
              <w:t>原件备查，未按要求提供相关材料或复印件件不清晰导致无法识别的不计得分。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lang w:bidi="ar"/>
              </w:rPr>
            </w:pPr>
            <w:r>
              <w:rPr>
                <w:rFonts w:hint="eastAsia" w:ascii="仿宋" w:hAnsi="仿宋" w:eastAsia="仿宋" w:cs="仿宋"/>
                <w:sz w:val="21"/>
                <w:szCs w:val="21"/>
                <w:lang w:bidi="ar"/>
              </w:rPr>
              <w:t>拟安排的项目人员情况</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10</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（一）评分内容：</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根据招标文件中第四章提供人员配备表，人员配备（岗位、岗位职责）需符合招标文件要求，否则不得分。厨师必须具备厨师资格</w:t>
            </w:r>
            <w:bookmarkStart w:id="0" w:name="_GoBack"/>
            <w:bookmarkEnd w:id="0"/>
            <w:r>
              <w:rPr>
                <w:rFonts w:hint="eastAsia" w:ascii="仿宋" w:hAnsi="仿宋" w:eastAsia="仿宋" w:cs="仿宋"/>
                <w:sz w:val="21"/>
                <w:szCs w:val="21"/>
              </w:rPr>
              <w:t>并且所有人员必须具备健康证，否则不得分。</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1、厨师长：具有高级厨师资格的，得4分；</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2、团队其他成员：具备中级或以上厨师资格证书的，每一人得2分，最多得6分；</w:t>
            </w:r>
          </w:p>
          <w:p>
            <w:pPr>
              <w:pageBreakBefore w:val="0"/>
              <w:kinsoku/>
              <w:wordWrap w:val="0"/>
              <w:overflowPunct/>
              <w:topLinePunct w:val="0"/>
              <w:bidi w:val="0"/>
              <w:snapToGrid/>
              <w:spacing w:line="240" w:lineRule="auto"/>
              <w:rPr>
                <w:rFonts w:hint="eastAsia" w:ascii="仿宋" w:hAnsi="仿宋" w:eastAsia="仿宋" w:cs="仿宋"/>
                <w:kern w:val="0"/>
                <w:sz w:val="21"/>
                <w:szCs w:val="21"/>
                <w:lang w:bidi="ar"/>
              </w:rPr>
            </w:pPr>
            <w:r>
              <w:rPr>
                <w:rFonts w:hint="eastAsia" w:ascii="仿宋" w:hAnsi="仿宋" w:eastAsia="仿宋" w:cs="仿宋"/>
                <w:sz w:val="21"/>
                <w:szCs w:val="21"/>
              </w:rPr>
              <w:t>（二）评分依据:</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要求提供项目团队人员近三个月（2021年12月-2022年2月）的社保证明（补缴无效，证明资料可为社保收缴部门盖章证明资料、社保窗口打印资料或社保官网截图），如社保材料因社保部门原因暂时无法取得，则可以往前顺延一个月，但须提供社保部门出具的相关有效证明材料）、相关资格或职称证书及证书官网或权威机构（如“中国社会组织公共服务平台”“中国国家认证认可监督管理委员会”等）等合法查询渠道的查询记录（原件备查），相关证书在公开渠道无法查询的，需提供颁发部门或者监管机构的证明材料，证明证书真实有效且为合法机构颁发）或官方网站评审委员会库成员名单公示证明。</w:t>
            </w:r>
          </w:p>
          <w:p>
            <w:pPr>
              <w:pageBreakBefore w:val="0"/>
              <w:kinsoku/>
              <w:wordWrap w:val="0"/>
              <w:overflowPunct/>
              <w:topLinePunct w:val="0"/>
              <w:bidi w:val="0"/>
              <w:snapToGrid/>
              <w:spacing w:line="240" w:lineRule="auto"/>
              <w:jc w:val="left"/>
              <w:rPr>
                <w:rFonts w:hint="eastAsia" w:ascii="仿宋" w:hAnsi="仿宋" w:eastAsia="仿宋" w:cs="仿宋"/>
                <w:sz w:val="21"/>
                <w:szCs w:val="21"/>
              </w:rPr>
            </w:pPr>
            <w:r>
              <w:rPr>
                <w:rFonts w:hint="eastAsia" w:ascii="仿宋" w:hAnsi="仿宋" w:eastAsia="仿宋" w:cs="仿宋"/>
                <w:sz w:val="21"/>
                <w:szCs w:val="21"/>
              </w:rPr>
              <w:t>（2）以上资料均要求提供扫描件或复印件加盖投标人公章，原件备查。评分中出现无证明材料或评审委员会无法凭所提供材料判断是否得分的情况，一律不得分。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2"/>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3</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本地服务能力</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5</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vAlign w:val="center"/>
          </w:tcPr>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1.如为深圳供应商，或非深圳供应商但在深圳有合法注册的分公司（或售后机构）（分公司的必须提供分公司营业执照复印件，售后机构必须同时提供售后服务合作合同及售后机构营业执照复印件作为得分依据）的，得5分；否则不得分。</w:t>
            </w:r>
          </w:p>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2.如为外地供应商，需提供承诺函：承诺中标后、签订合同前在深圳设立服务网点以便响应采购人服务的，得1分，否则不得分。承诺函（格式自拟）不提供不得分。提供虚假承诺的，将做无效投标处理，并依法报主管部门处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4</w:t>
            </w:r>
          </w:p>
        </w:tc>
        <w:tc>
          <w:tcPr>
            <w:tcW w:w="4514" w:type="dxa"/>
            <w:gridSpan w:val="4"/>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诚信情况</w:t>
            </w:r>
          </w:p>
        </w:tc>
        <w:tc>
          <w:tcPr>
            <w:tcW w:w="3790" w:type="dxa"/>
            <w:vAlign w:val="center"/>
          </w:tcPr>
          <w:p>
            <w:pPr>
              <w:pStyle w:val="4"/>
              <w:pageBreakBefore w:val="0"/>
              <w:numPr>
                <w:ilvl w:val="12"/>
                <w:numId w:val="0"/>
              </w:numPr>
              <w:pBdr>
                <w:bottom w:val="none" w:color="auto" w:sz="0" w:space="0"/>
              </w:pBdr>
              <w:tabs>
                <w:tab w:val="clear" w:pos="4153"/>
                <w:tab w:val="clear" w:pos="8306"/>
              </w:tabs>
              <w:kinsoku/>
              <w:wordWrap w:val="0"/>
              <w:overflowPunct/>
              <w:topLinePunct w:val="0"/>
              <w:bidi w:val="0"/>
              <w:snapToGrid/>
              <w:spacing w:line="240" w:lineRule="auto"/>
              <w:rPr>
                <w:rFonts w:hint="eastAsia" w:ascii="仿宋" w:hAnsi="仿宋" w:eastAsia="仿宋" w:cs="仿宋"/>
                <w:b/>
                <w:sz w:val="21"/>
                <w:szCs w:val="21"/>
              </w:rPr>
            </w:pPr>
            <w:r>
              <w:rPr>
                <w:rFonts w:hint="eastAsia" w:ascii="仿宋" w:hAnsi="仿宋" w:eastAsia="仿宋" w:cs="仿宋"/>
                <w:b/>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restart"/>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评分因素</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评分方式</w:t>
            </w:r>
          </w:p>
        </w:tc>
        <w:tc>
          <w:tcPr>
            <w:tcW w:w="3790" w:type="dxa"/>
            <w:vAlign w:val="center"/>
          </w:tcPr>
          <w:p>
            <w:pPr>
              <w:pageBreakBefore w:val="0"/>
              <w:kinsoku/>
              <w:wordWrap w:val="0"/>
              <w:overflowPunct/>
              <w:topLinePunct w:val="0"/>
              <w:bidi w:val="0"/>
              <w:snapToGrid/>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Merge w:val="continue"/>
            <w:vAlign w:val="center"/>
          </w:tcPr>
          <w:p>
            <w:pPr>
              <w:pageBreakBefore w:val="0"/>
              <w:kinsoku/>
              <w:wordWrap w:val="0"/>
              <w:overflowPunct/>
              <w:topLinePunct w:val="0"/>
              <w:bidi w:val="0"/>
              <w:snapToGrid/>
              <w:spacing w:line="240" w:lineRule="auto"/>
              <w:jc w:val="center"/>
              <w:outlineLvl w:val="0"/>
              <w:rPr>
                <w:rFonts w:hint="eastAsia" w:ascii="仿宋" w:hAnsi="仿宋" w:eastAsia="仿宋" w:cs="仿宋"/>
                <w:sz w:val="21"/>
                <w:szCs w:val="21"/>
              </w:rPr>
            </w:pPr>
          </w:p>
        </w:tc>
        <w:tc>
          <w:tcPr>
            <w:tcW w:w="731"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1</w:t>
            </w:r>
          </w:p>
        </w:tc>
        <w:tc>
          <w:tcPr>
            <w:tcW w:w="1623"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诚信</w:t>
            </w:r>
          </w:p>
        </w:tc>
        <w:tc>
          <w:tcPr>
            <w:tcW w:w="92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7</w:t>
            </w:r>
          </w:p>
        </w:tc>
        <w:tc>
          <w:tcPr>
            <w:tcW w:w="1235" w:type="dxa"/>
            <w:vAlign w:val="center"/>
          </w:tcPr>
          <w:p>
            <w:pPr>
              <w:pageBreakBefore w:val="0"/>
              <w:kinsoku/>
              <w:wordWrap w:val="0"/>
              <w:overflowPunct/>
              <w:topLinePunct w:val="0"/>
              <w:bidi w:val="0"/>
              <w:snapToGrid/>
              <w:spacing w:line="240" w:lineRule="auto"/>
              <w:jc w:val="center"/>
              <w:rPr>
                <w:rFonts w:hint="eastAsia" w:ascii="仿宋" w:hAnsi="仿宋" w:eastAsia="仿宋" w:cs="仿宋"/>
                <w:sz w:val="21"/>
                <w:szCs w:val="21"/>
              </w:rPr>
            </w:pPr>
            <w:r>
              <w:rPr>
                <w:rFonts w:hint="eastAsia" w:ascii="仿宋" w:hAnsi="仿宋" w:eastAsia="仿宋" w:cs="仿宋"/>
                <w:sz w:val="21"/>
                <w:szCs w:val="21"/>
              </w:rPr>
              <w:t>评委评分</w:t>
            </w:r>
          </w:p>
        </w:tc>
        <w:tc>
          <w:tcPr>
            <w:tcW w:w="3790" w:type="dxa"/>
          </w:tcPr>
          <w:p>
            <w:pPr>
              <w:pageBreakBefore w:val="0"/>
              <w:kinsoku/>
              <w:wordWrap w:val="0"/>
              <w:overflowPunct/>
              <w:topLinePunct w:val="0"/>
              <w:bidi w:val="0"/>
              <w:snapToGrid/>
              <w:spacing w:line="240" w:lineRule="auto"/>
              <w:rPr>
                <w:rFonts w:hint="eastAsia" w:ascii="仿宋" w:hAnsi="仿宋" w:eastAsia="仿宋" w:cs="仿宋"/>
                <w:sz w:val="21"/>
                <w:szCs w:val="21"/>
              </w:rPr>
            </w:pPr>
            <w:r>
              <w:rPr>
                <w:rFonts w:hint="eastAsia" w:ascii="仿宋" w:hAnsi="仿宋" w:eastAsia="仿宋" w:cs="仿宋"/>
                <w:sz w:val="21"/>
                <w:szCs w:val="21"/>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DA8F8"/>
    <w:multiLevelType w:val="singleLevel"/>
    <w:tmpl w:val="338DA8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GQ3MDY3ZGQ0Y2U1ZmVlMzVjOGMzZGFhZTEyNzMifQ=="/>
  </w:docVars>
  <w:rsids>
    <w:rsidRoot w:val="00000000"/>
    <w:rsid w:val="03A57782"/>
    <w:rsid w:val="16077A7C"/>
    <w:rsid w:val="20FD17BE"/>
    <w:rsid w:val="2661459D"/>
    <w:rsid w:val="28081174"/>
    <w:rsid w:val="37331A4B"/>
    <w:rsid w:val="37DD15AA"/>
    <w:rsid w:val="38A04AB1"/>
    <w:rsid w:val="38EA3477"/>
    <w:rsid w:val="3AA50AA5"/>
    <w:rsid w:val="3F3F5031"/>
    <w:rsid w:val="50BC8DC0"/>
    <w:rsid w:val="523F099A"/>
    <w:rsid w:val="639F254C"/>
    <w:rsid w:val="650A312E"/>
    <w:rsid w:val="6D3F594B"/>
    <w:rsid w:val="777C4951"/>
    <w:rsid w:val="77CB78C5"/>
    <w:rsid w:val="7D79D925"/>
    <w:rsid w:val="BEFCBC47"/>
    <w:rsid w:val="FF7BA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spacing w:val="0"/>
      <w:kern w:val="0"/>
      <w:sz w:val="20"/>
      <w:szCs w:val="20"/>
    </w:rPr>
  </w:style>
  <w:style w:type="paragraph" w:styleId="4">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paragraph" w:styleId="5">
    <w:name w:val="Normal (Web)"/>
    <w:basedOn w:val="1"/>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568</Words>
  <Characters>622</Characters>
  <Lines>0</Lines>
  <Paragraphs>0</Paragraphs>
  <TotalTime>12</TotalTime>
  <ScaleCrop>false</ScaleCrop>
  <LinksUpToDate>false</LinksUpToDate>
  <CharactersWithSpaces>629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2022-05-31T02:41:00Z</dcterms:created>
  <dc:creator>Administrator</dc:creator>
  <cp:lastModifiedBy>信息小组</cp:lastModifiedBy>
  <dcterms:modified xsi:type="dcterms:W3CDTF">2022-10-12T11:25:57Z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780115DB4D79B23F751DB962BD8B1681</vt:lpwstr>
  </property>
</Properties>
</file>