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ind w:firstLine="640" w:firstLineChars="200"/>
        <w:rPr>
          <w:rFonts w:hint="eastAsia" w:ascii="仿宋_GB2312" w:hAnsi="仿宋_GB2312" w:cs="仿宋_GB2312"/>
          <w:spacing w:val="0"/>
          <w:kern w:val="0"/>
          <w:szCs w:val="32"/>
          <w:lang w:val="en-US" w:eastAsia="zh-CN"/>
        </w:rPr>
      </w:pPr>
      <w:r>
        <w:rPr>
          <w:rFonts w:hint="eastAsia" w:ascii="仿宋_GB2312" w:hAnsi="仿宋_GB2312" w:cs="仿宋_GB2312"/>
          <w:spacing w:val="0"/>
          <w:kern w:val="0"/>
          <w:szCs w:val="32"/>
          <w:lang w:eastAsia="zh-CN"/>
        </w:rPr>
        <w:t>附件</w:t>
      </w:r>
      <w:r>
        <w:rPr>
          <w:rFonts w:hint="eastAsia" w:ascii="仿宋_GB2312" w:hAnsi="仿宋_GB2312" w:cs="仿宋_GB2312"/>
          <w:spacing w:val="0"/>
          <w:kern w:val="0"/>
          <w:szCs w:val="32"/>
          <w:lang w:val="en-US" w:eastAsia="zh-CN"/>
        </w:rPr>
        <w:t>1：</w:t>
      </w:r>
    </w:p>
    <w:p>
      <w:pPr>
        <w:widowControl/>
        <w:snapToGrid w:val="0"/>
        <w:spacing w:line="560" w:lineRule="exact"/>
        <w:ind w:firstLine="4160" w:firstLineChars="1300"/>
        <w:rPr>
          <w:rFonts w:hint="eastAsia" w:ascii="黑体" w:hAnsi="黑体" w:eastAsia="黑体"/>
          <w:spacing w:val="0"/>
          <w:szCs w:val="32"/>
        </w:rPr>
      </w:pPr>
      <w:bookmarkStart w:id="0" w:name="_GoBack"/>
      <w:r>
        <w:rPr>
          <w:rFonts w:hint="eastAsia" w:ascii="黑体" w:hAnsi="黑体" w:eastAsia="黑体"/>
          <w:spacing w:val="0"/>
          <w:szCs w:val="32"/>
        </w:rPr>
        <w:t>评标方法</w:t>
      </w:r>
    </w:p>
    <w:bookmarkEnd w:id="0"/>
    <w:tbl>
      <w:tblPr>
        <w:tblStyle w:val="5"/>
        <w:tblW w:w="9072" w:type="dxa"/>
        <w:jc w:val="center"/>
        <w:tblCellSpacing w:w="0" w:type="dxa"/>
        <w:tblLayout w:type="autofit"/>
        <w:tblCellMar>
          <w:top w:w="36" w:type="dxa"/>
          <w:left w:w="36" w:type="dxa"/>
          <w:bottom w:w="36" w:type="dxa"/>
          <w:right w:w="36" w:type="dxa"/>
        </w:tblCellMar>
      </w:tblPr>
      <w:tblGrid>
        <w:gridCol w:w="8933"/>
        <w:gridCol w:w="139"/>
      </w:tblGrid>
      <w:tr>
        <w:tblPrEx>
          <w:tblCellMar>
            <w:top w:w="36" w:type="dxa"/>
            <w:left w:w="36" w:type="dxa"/>
            <w:bottom w:w="36" w:type="dxa"/>
            <w:right w:w="36" w:type="dxa"/>
          </w:tblCellMar>
        </w:tblPrEx>
        <w:trPr>
          <w:tblCellSpacing w:w="0" w:type="dxa"/>
          <w:jc w:val="center"/>
        </w:trPr>
        <w:tc>
          <w:tcPr>
            <w:tcW w:w="0" w:type="auto"/>
            <w:tcBorders>
              <w:top w:val="nil"/>
              <w:left w:val="nil"/>
              <w:bottom w:val="nil"/>
              <w:right w:val="nil"/>
            </w:tcBorders>
            <w:noWrap w:val="0"/>
            <w:vAlign w:val="center"/>
          </w:tcPr>
          <w:p>
            <w:pPr>
              <w:rPr>
                <w:rFonts w:hint="eastAsia" w:ascii="宋体" w:hAnsi="宋体"/>
                <w:b/>
                <w:bCs/>
                <w:sz w:val="24"/>
              </w:rPr>
            </w:pPr>
            <w:r>
              <w:rPr>
                <w:b/>
                <w:bCs/>
              </w:rPr>
              <w:t>评标方法：综合评分法（新价格分算法）</w:t>
            </w:r>
          </w:p>
        </w:tc>
        <w:tc>
          <w:tcPr>
            <w:tcW w:w="0" w:type="auto"/>
            <w:tcBorders>
              <w:top w:val="nil"/>
              <w:left w:val="nil"/>
              <w:bottom w:val="nil"/>
              <w:right w:val="nil"/>
            </w:tcBorders>
            <w:noWrap w:val="0"/>
            <w:vAlign w:val="center"/>
          </w:tcPr>
          <w:p>
            <w:pPr>
              <w:rPr>
                <w:b/>
                <w:bCs/>
              </w:rPr>
            </w:pPr>
          </w:p>
        </w:tc>
      </w:tr>
      <w:tr>
        <w:tblPrEx>
          <w:tblCellMar>
            <w:top w:w="36" w:type="dxa"/>
            <w:left w:w="36" w:type="dxa"/>
            <w:bottom w:w="36" w:type="dxa"/>
            <w:right w:w="36" w:type="dxa"/>
          </w:tblCellMar>
        </w:tblPrEx>
        <w:trPr>
          <w:tblCellSpacing w:w="0" w:type="dxa"/>
          <w:jc w:val="center"/>
        </w:trPr>
        <w:tc>
          <w:tcPr>
            <w:tcW w:w="0" w:type="auto"/>
            <w:gridSpan w:val="2"/>
            <w:tcBorders>
              <w:top w:val="nil"/>
              <w:left w:val="nil"/>
              <w:bottom w:val="nil"/>
              <w:right w:val="nil"/>
            </w:tcBorders>
            <w:noWrap w:val="0"/>
            <w:vAlign w:val="center"/>
          </w:tcPr>
          <w:p>
            <w:pPr>
              <w:pStyle w:val="4"/>
              <w:spacing w:line="324" w:lineRule="auto"/>
              <w:ind w:firstLine="420"/>
              <w:rPr>
                <w:rFonts w:ascii="宋体" w:hAnsi="宋体" w:cs="宋体"/>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4"/>
              <w:ind w:firstLine="420"/>
              <w:rPr>
                <w:sz w:val="21"/>
                <w:szCs w:val="21"/>
              </w:rPr>
            </w:pPr>
            <w:r>
              <w:rPr>
                <w:sz w:val="21"/>
                <w:szCs w:val="21"/>
              </w:rPr>
              <w:t>价格分计算方法：</w:t>
            </w:r>
          </w:p>
          <w:p>
            <w:pPr>
              <w:pStyle w:val="4"/>
              <w:spacing w:line="324" w:lineRule="auto"/>
              <w:ind w:left="420"/>
              <w:rPr>
                <w:rFonts w:hint="eastAsia" w:eastAsia="宋体"/>
                <w:sz w:val="21"/>
                <w:szCs w:val="21"/>
                <w:lang w:eastAsia="zh-CN"/>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4"/>
              <w:spacing w:line="324" w:lineRule="auto"/>
              <w:ind w:left="420"/>
              <w:rPr>
                <w:rFonts w:hint="eastAsia" w:eastAsia="宋体"/>
                <w:sz w:val="21"/>
                <w:szCs w:val="21"/>
                <w:lang w:eastAsia="zh-CN"/>
              </w:rPr>
            </w:pPr>
            <w:r>
              <w:rPr>
                <w:sz w:val="21"/>
                <w:szCs w:val="21"/>
              </w:rPr>
              <w:t xml:space="preserve">投标报价得分=(评标基准价／投标报价)×100 </w:t>
            </w:r>
          </w:p>
          <w:p>
            <w:pPr>
              <w:pStyle w:val="4"/>
              <w:spacing w:line="324" w:lineRule="auto"/>
              <w:ind w:left="420"/>
              <w:rPr>
                <w:rFonts w:hint="eastAsia" w:eastAsia="宋体"/>
                <w:sz w:val="21"/>
                <w:szCs w:val="21"/>
                <w:lang w:eastAsia="zh-CN"/>
              </w:rPr>
            </w:pPr>
            <w:r>
              <w:rPr>
                <w:sz w:val="21"/>
                <w:szCs w:val="21"/>
              </w:rPr>
              <w:t xml:space="preserve">评标总得分＝F1×A1＋F2×A2＋……＋Fn×An </w:t>
            </w:r>
          </w:p>
          <w:p>
            <w:pPr>
              <w:pStyle w:val="4"/>
              <w:spacing w:line="324" w:lineRule="auto"/>
              <w:ind w:left="420"/>
              <w:rPr>
                <w:rFonts w:hint="eastAsia" w:eastAsia="宋体"/>
                <w:sz w:val="21"/>
                <w:szCs w:val="21"/>
                <w:lang w:eastAsia="zh-CN"/>
              </w:rPr>
            </w:pPr>
            <w:r>
              <w:rPr>
                <w:sz w:val="21"/>
                <w:szCs w:val="21"/>
              </w:rPr>
              <w:t xml:space="preserve">F1、F2……Fn分别为各项评审因素的得分； </w:t>
            </w:r>
          </w:p>
          <w:p>
            <w:pPr>
              <w:pStyle w:val="4"/>
              <w:spacing w:line="324" w:lineRule="auto"/>
              <w:ind w:left="420"/>
              <w:rPr>
                <w:rFonts w:hint="eastAsia" w:eastAsia="宋体"/>
                <w:sz w:val="21"/>
                <w:szCs w:val="21"/>
                <w:lang w:eastAsia="zh-CN"/>
              </w:rPr>
            </w:pPr>
            <w:r>
              <w:rPr>
                <w:sz w:val="21"/>
                <w:szCs w:val="21"/>
              </w:rPr>
              <w:t xml:space="preserve">A1、A2、……An 分别为各项评审因素所占的权重(A1＋A2＋……＋An＝1)。 </w:t>
            </w:r>
          </w:p>
          <w:p>
            <w:pPr>
              <w:pStyle w:val="4"/>
              <w:spacing w:line="324" w:lineRule="auto"/>
              <w:ind w:left="420"/>
              <w:rPr>
                <w:rFonts w:hint="eastAsia" w:eastAsia="宋体"/>
                <w:sz w:val="21"/>
                <w:szCs w:val="21"/>
                <w:lang w:eastAsia="zh-CN"/>
              </w:rPr>
            </w:pPr>
            <w:r>
              <w:rPr>
                <w:sz w:val="21"/>
                <w:szCs w:val="21"/>
              </w:rPr>
              <w:t xml:space="preserve">评标过程中，不得去掉报价中的最高报价和最低报价。 </w:t>
            </w:r>
          </w:p>
          <w:p>
            <w:pPr>
              <w:pStyle w:val="4"/>
              <w:spacing w:line="324" w:lineRule="auto"/>
              <w:ind w:left="420"/>
              <w:rPr>
                <w:sz w:val="21"/>
                <w:szCs w:val="21"/>
              </w:rPr>
            </w:pPr>
            <w:r>
              <w:rPr>
                <w:sz w:val="21"/>
                <w:szCs w:val="21"/>
              </w:rPr>
              <w:t xml:space="preserve">此方法适用于货物类、服务类、工程类项目。 </w:t>
            </w:r>
          </w:p>
        </w:tc>
      </w:tr>
    </w:tbl>
    <w:p>
      <w:pPr>
        <w:spacing w:after="1134"/>
        <w:rPr>
          <w:vanish/>
        </w:rPr>
      </w:pP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835"/>
        <w:gridCol w:w="681"/>
        <w:gridCol w:w="41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1</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价格</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wordWrap w:val="0"/>
              <w:rPr>
                <w:rFonts w:hint="eastAsia" w:ascii="仿宋_GB2312" w:hAnsi="仿宋_GB2312" w:eastAsia="仿宋_GB2312" w:cs="仿宋_GB2312"/>
                <w:b/>
                <w:bCs/>
                <w:color w:val="0000FF"/>
                <w:sz w:val="28"/>
                <w:szCs w:val="28"/>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2</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技术部分</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lang w:val="en-US" w:eastAsia="zh-CN"/>
              </w:rPr>
            </w:pPr>
            <w:r>
              <w:rPr>
                <w:rFonts w:hint="eastAsia" w:ascii="仿宋_GB2312" w:hAnsi="仿宋_GB2312" w:eastAsia="仿宋_GB2312" w:cs="仿宋_GB2312"/>
                <w:b/>
                <w:bCs/>
                <w:color w:val="0000FF"/>
                <w:sz w:val="28"/>
                <w:szCs w:val="28"/>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wordWrap w:val="0"/>
              <w:rPr>
                <w:rFonts w:hint="eastAsia" w:ascii="仿宋_GB2312" w:hAnsi="仿宋_GB2312" w:eastAsia="仿宋_GB2312" w:cs="仿宋_GB2312"/>
                <w:b/>
                <w:bCs/>
                <w:color w:val="0000FF"/>
                <w:sz w:val="28"/>
                <w:szCs w:val="28"/>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ascii="仿宋_GB2312" w:hAnsi="仿宋_GB2312" w:eastAsia="仿宋_GB2312" w:cs="仿宋_GB2312"/>
                <w:b/>
                <w:bCs/>
                <w:color w:val="0000FF"/>
                <w:sz w:val="28"/>
                <w:szCs w:val="28"/>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noWrap w:val="0"/>
            <w:vAlign w:val="top"/>
          </w:tcPr>
          <w:p>
            <w:pPr>
              <w:wordWrap w:val="0"/>
              <w:rPr>
                <w:rFonts w:hint="eastAsia" w:ascii="仿宋_GB2312" w:hAnsi="仿宋_GB2312" w:eastAsia="仿宋_GB2312" w:cs="仿宋_GB2312"/>
                <w:b/>
                <w:bCs/>
                <w:color w:val="0000FF"/>
                <w:sz w:val="28"/>
                <w:szCs w:val="28"/>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技术规格偏离情况</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eastAsia="zh-CN"/>
              </w:rPr>
              <w:t>0</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应如实填写《技术规格偏离表》，评审委员会根据技术需求参数响应情况进行打分，各项技术参数指标及要求全部满足的得</w:t>
            </w: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0分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偏离一项扣</w:t>
            </w: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eastAsia="zh-CN"/>
              </w:rPr>
              <w:t>分，</w:t>
            </w:r>
            <w:r>
              <w:rPr>
                <w:rFonts w:hint="eastAsia" w:ascii="仿宋_GB2312" w:hAnsi="仿宋_GB2312" w:eastAsia="仿宋_GB2312" w:cs="仿宋_GB2312"/>
                <w:sz w:val="28"/>
                <w:szCs w:val="28"/>
                <w:highlight w:val="none"/>
                <w:lang w:val="en-US" w:eastAsia="zh-CN"/>
              </w:rPr>
              <w:t>投标人须如实填写《技术规格偏离表》，需提供相关证明资料，包括产品原厂说明书或产品彩页等。提供的证明资料与投标响应情况不相符的，视为负偏离。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noWrap w:val="0"/>
            <w:vAlign w:val="top"/>
          </w:tcPr>
          <w:p>
            <w:pPr>
              <w:wordWrap w:val="0"/>
              <w:rPr>
                <w:rFonts w:hint="eastAsia" w:ascii="仿宋_GB2312" w:hAnsi="仿宋_GB2312" w:eastAsia="仿宋_GB2312" w:cs="仿宋_GB2312"/>
                <w:b/>
                <w:bCs/>
                <w:color w:val="0000FF"/>
                <w:sz w:val="28"/>
                <w:szCs w:val="28"/>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设计效果图</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评审标准： </w:t>
            </w:r>
          </w:p>
          <w:p>
            <w:pPr>
              <w:wordWrap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投标人按照投标文件的图片进行效果图设计：</w:t>
            </w:r>
          </w:p>
          <w:p>
            <w:pPr>
              <w:numPr>
                <w:ilvl w:val="0"/>
                <w:numId w:val="0"/>
              </w:numPr>
              <w:wordWrap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设计图设计理念新颖，能够很好地</w:t>
            </w:r>
            <w:r>
              <w:rPr>
                <w:rFonts w:hint="eastAsia" w:ascii="仿宋_GB2312" w:hAnsi="仿宋_GB2312" w:cs="仿宋_GB2312"/>
                <w:sz w:val="28"/>
                <w:szCs w:val="28"/>
                <w:lang w:eastAsia="zh-CN"/>
              </w:rPr>
              <w:t>符合“深圳”“殡葬文化”</w:t>
            </w:r>
            <w:r>
              <w:rPr>
                <w:rFonts w:hint="eastAsia" w:ascii="仿宋_GB2312" w:hAnsi="仿宋_GB2312" w:eastAsia="仿宋_GB2312" w:cs="仿宋_GB2312"/>
                <w:sz w:val="28"/>
                <w:szCs w:val="28"/>
                <w:lang w:eastAsia="zh-CN"/>
              </w:rPr>
              <w:t>等元素</w:t>
            </w:r>
            <w:r>
              <w:rPr>
                <w:rFonts w:hint="eastAsia" w:ascii="仿宋_GB2312" w:hAnsi="仿宋_GB2312" w:cs="仿宋_GB2312"/>
                <w:sz w:val="28"/>
                <w:szCs w:val="28"/>
                <w:lang w:eastAsia="zh-CN"/>
              </w:rPr>
              <w:t>，得</w:t>
            </w:r>
            <w:r>
              <w:rPr>
                <w:rFonts w:hint="eastAsia" w:ascii="仿宋_GB2312" w:hAnsi="仿宋_GB2312" w:cs="仿宋_GB2312"/>
                <w:sz w:val="28"/>
                <w:szCs w:val="28"/>
                <w:lang w:val="en-US" w:eastAsia="zh-CN"/>
              </w:rPr>
              <w:t>15</w:t>
            </w:r>
            <w:r>
              <w:rPr>
                <w:rFonts w:hint="eastAsia" w:ascii="仿宋_GB2312" w:hAnsi="仿宋_GB2312" w:eastAsia="仿宋_GB2312" w:cs="仿宋_GB2312"/>
                <w:sz w:val="28"/>
                <w:szCs w:val="28"/>
                <w:lang w:val="en-US" w:eastAsia="zh-CN"/>
              </w:rPr>
              <w:t>分；</w:t>
            </w:r>
          </w:p>
          <w:p>
            <w:pPr>
              <w:wordWrap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设计图设计理念一般，能较好</w:t>
            </w:r>
            <w:r>
              <w:rPr>
                <w:rFonts w:hint="eastAsia" w:ascii="仿宋_GB2312" w:hAnsi="仿宋_GB2312" w:cs="仿宋_GB2312"/>
                <w:sz w:val="28"/>
                <w:szCs w:val="28"/>
                <w:lang w:eastAsia="zh-CN"/>
              </w:rPr>
              <w:t>符合“深圳”“殡葬文化”</w:t>
            </w:r>
            <w:r>
              <w:rPr>
                <w:rFonts w:hint="eastAsia" w:ascii="仿宋_GB2312" w:hAnsi="仿宋_GB2312" w:eastAsia="仿宋_GB2312" w:cs="仿宋_GB2312"/>
                <w:sz w:val="28"/>
                <w:szCs w:val="28"/>
                <w:lang w:eastAsia="zh-CN"/>
              </w:rPr>
              <w:t>等元素，得</w:t>
            </w:r>
            <w:r>
              <w:rPr>
                <w:rFonts w:hint="eastAsia" w:ascii="仿宋_GB2312" w:hAnsi="仿宋_GB2312" w:eastAsia="仿宋_GB2312" w:cs="仿宋_GB2312"/>
                <w:sz w:val="28"/>
                <w:szCs w:val="28"/>
                <w:lang w:val="en-US" w:eastAsia="zh-CN"/>
              </w:rPr>
              <w:t>1</w:t>
            </w:r>
            <w:r>
              <w:rPr>
                <w:rFonts w:hint="eastAsia" w:ascii="仿宋_GB2312" w:hAnsi="仿宋_GB2312" w:cs="仿宋_GB2312"/>
                <w:sz w:val="28"/>
                <w:szCs w:val="28"/>
                <w:lang w:val="en-US" w:eastAsia="zh-CN"/>
              </w:rPr>
              <w:t>0</w:t>
            </w:r>
            <w:r>
              <w:rPr>
                <w:rFonts w:hint="eastAsia" w:ascii="仿宋_GB2312" w:hAnsi="仿宋_GB2312" w:eastAsia="仿宋_GB2312" w:cs="仿宋_GB2312"/>
                <w:sz w:val="28"/>
                <w:szCs w:val="28"/>
                <w:lang w:val="en-US" w:eastAsia="zh-CN"/>
              </w:rPr>
              <w:t>分；</w:t>
            </w:r>
          </w:p>
          <w:p>
            <w:pPr>
              <w:wordWrap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3.设计图设计理念差，</w:t>
            </w:r>
            <w:r>
              <w:rPr>
                <w:rFonts w:hint="eastAsia" w:ascii="仿宋_GB2312" w:hAnsi="仿宋_GB2312" w:cs="仿宋_GB2312"/>
                <w:sz w:val="28"/>
                <w:szCs w:val="28"/>
                <w:lang w:val="en-US" w:eastAsia="zh-CN"/>
              </w:rPr>
              <w:t>“深圳”“殡葬文化”</w:t>
            </w:r>
            <w:r>
              <w:rPr>
                <w:rFonts w:hint="eastAsia" w:ascii="仿宋_GB2312" w:hAnsi="仿宋_GB2312" w:eastAsia="仿宋_GB2312" w:cs="仿宋_GB2312"/>
                <w:sz w:val="28"/>
                <w:szCs w:val="28"/>
                <w:lang w:eastAsia="zh-CN"/>
              </w:rPr>
              <w:t>等元素串联一般，</w:t>
            </w:r>
            <w:r>
              <w:rPr>
                <w:rFonts w:hint="eastAsia" w:ascii="仿宋_GB2312" w:hAnsi="仿宋_GB2312" w:eastAsia="仿宋_GB2312" w:cs="仿宋_GB2312"/>
                <w:sz w:val="28"/>
                <w:szCs w:val="28"/>
                <w:lang w:val="en-US" w:eastAsia="zh-CN"/>
              </w:rPr>
              <w:t>款式差的，得</w:t>
            </w:r>
            <w:r>
              <w:rPr>
                <w:rFonts w:hint="eastAsia" w:ascii="仿宋_GB2312" w:hAnsi="仿宋_GB2312" w:cs="仿宋_GB2312"/>
                <w:sz w:val="28"/>
                <w:szCs w:val="28"/>
                <w:lang w:val="en-US" w:eastAsia="zh-CN"/>
              </w:rPr>
              <w:t>5</w:t>
            </w:r>
            <w:r>
              <w:rPr>
                <w:rFonts w:hint="eastAsia" w:ascii="仿宋_GB2312" w:hAnsi="仿宋_GB2312" w:eastAsia="仿宋_GB2312" w:cs="仿宋_GB2312"/>
                <w:sz w:val="28"/>
                <w:szCs w:val="28"/>
                <w:lang w:val="en-US"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noWrap w:val="0"/>
            <w:vAlign w:val="top"/>
          </w:tcPr>
          <w:p>
            <w:pPr>
              <w:wordWrap w:val="0"/>
              <w:rPr>
                <w:rFonts w:hint="eastAsia" w:ascii="仿宋_GB2312" w:hAnsi="仿宋_GB2312" w:eastAsia="仿宋_GB2312" w:cs="仿宋_GB2312"/>
                <w:b/>
                <w:bCs/>
                <w:color w:val="0000FF"/>
                <w:sz w:val="28"/>
                <w:szCs w:val="28"/>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布料样品</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pStyle w:val="3"/>
              <w:numPr>
                <w:ilvl w:val="0"/>
                <w:numId w:val="0"/>
              </w:numPr>
              <w:wordWrap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评审标准：</w:t>
            </w:r>
          </w:p>
          <w:p>
            <w:pPr>
              <w:pStyle w:val="3"/>
              <w:numPr>
                <w:ilvl w:val="0"/>
                <w:numId w:val="0"/>
              </w:numPr>
              <w:wordWrap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投标人按照投标文件的布料技术参数提供样品，并承诺样品的参数符合采购人的需求，中标商的样品布料将作为产品验收的依据。</w:t>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专家根据供应商提供的样品的工艺材质进行评定，评定依据如下：</w:t>
            </w:r>
          </w:p>
          <w:p>
            <w:pPr>
              <w:pStyle w:val="2"/>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工艺精致，材质优等，美观舒适，坚固耐用，得15分；</w:t>
            </w:r>
          </w:p>
          <w:p>
            <w:pPr>
              <w:pStyle w:val="2"/>
              <w:numPr>
                <w:ilvl w:val="0"/>
                <w:numId w:val="1"/>
              </w:num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工艺较好，材质较好，外观普通，结实耐用，得10分；</w:t>
            </w:r>
          </w:p>
          <w:p>
            <w:pPr>
              <w:pStyle w:val="2"/>
              <w:numPr>
                <w:ilvl w:val="0"/>
                <w:numId w:val="1"/>
              </w:num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工艺普通，材质一般，外观普通，质量一般，得5分。</w:t>
            </w:r>
          </w:p>
          <w:p>
            <w:pPr>
              <w:rPr>
                <w:rFonts w:hint="eastAsia" w:ascii="仿宋_GB2312" w:hAnsi="仿宋_GB2312" w:eastAsia="仿宋_GB2312" w:cs="仿宋_GB2312"/>
                <w:sz w:val="28"/>
                <w:szCs w:val="28"/>
              </w:rPr>
            </w:pPr>
          </w:p>
          <w:p>
            <w:pPr>
              <w:pStyle w:val="3"/>
              <w:numPr>
                <w:ilvl w:val="0"/>
                <w:numId w:val="0"/>
              </w:numPr>
              <w:jc w:val="both"/>
              <w:rPr>
                <w:rFonts w:hint="eastAsia" w:ascii="仿宋_GB2312" w:hAnsi="仿宋_GB2312" w:eastAsia="仿宋_GB2312" w:cs="仿宋_GB2312"/>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3</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商务需求</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lang w:val="en-US" w:eastAsia="zh-CN"/>
              </w:rPr>
            </w:pPr>
            <w:r>
              <w:rPr>
                <w:rFonts w:hint="eastAsia" w:ascii="仿宋_GB2312" w:hAnsi="仿宋_GB2312" w:eastAsia="仿宋_GB2312" w:cs="仿宋_GB2312"/>
                <w:b/>
                <w:bCs/>
                <w:color w:val="0000FF"/>
                <w:sz w:val="28"/>
                <w:szCs w:val="28"/>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wordWrap w:val="0"/>
              <w:rPr>
                <w:rFonts w:hint="eastAsia" w:ascii="仿宋_GB2312" w:hAnsi="仿宋_GB2312" w:eastAsia="仿宋_GB2312" w:cs="仿宋_GB2312"/>
                <w:b/>
                <w:bCs/>
                <w:color w:val="0000FF"/>
                <w:sz w:val="28"/>
                <w:szCs w:val="28"/>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ascii="仿宋_GB2312" w:hAnsi="仿宋_GB2312" w:eastAsia="仿宋_GB2312" w:cs="仿宋_GB2312"/>
                <w:b/>
                <w:bCs/>
                <w:color w:val="0000FF"/>
                <w:sz w:val="28"/>
                <w:szCs w:val="28"/>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noWrap w:val="0"/>
            <w:vAlign w:val="top"/>
          </w:tcPr>
          <w:p>
            <w:pPr>
              <w:wordWrap w:val="0"/>
              <w:rPr>
                <w:rFonts w:hint="eastAsia" w:ascii="仿宋_GB2312" w:hAnsi="仿宋_GB2312" w:eastAsia="仿宋_GB2312" w:cs="仿宋_GB2312"/>
                <w:b/>
                <w:bCs/>
                <w:color w:val="0000FF"/>
                <w:sz w:val="28"/>
                <w:szCs w:val="28"/>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应急保障方案</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投标人提供应急保障方案。</w:t>
            </w:r>
          </w:p>
          <w:p>
            <w:pPr>
              <w:numPr>
                <w:ilvl w:val="0"/>
                <w:numId w:val="2"/>
              </w:numPr>
              <w:wordWrap w:val="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方案内能清晰阐述项目团队人员、应急保障措施得力、替代方案合理，得</w:t>
            </w:r>
            <w:r>
              <w:rPr>
                <w:rFonts w:hint="eastAsia" w:ascii="仿宋_GB2312" w:hAnsi="仿宋_GB2312" w:eastAsia="仿宋_GB2312" w:cs="仿宋_GB2312"/>
                <w:sz w:val="28"/>
                <w:szCs w:val="28"/>
                <w:lang w:val="en-US" w:eastAsia="zh-CN"/>
              </w:rPr>
              <w:t>2分。</w:t>
            </w:r>
          </w:p>
          <w:p>
            <w:pPr>
              <w:numPr>
                <w:ilvl w:val="0"/>
                <w:numId w:val="2"/>
              </w:numPr>
              <w:wordWrap w:val="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方案内能部分清晰</w:t>
            </w:r>
            <w:r>
              <w:rPr>
                <w:rFonts w:hint="eastAsia" w:ascii="仿宋_GB2312" w:hAnsi="仿宋_GB2312" w:eastAsia="仿宋_GB2312" w:cs="仿宋_GB2312"/>
                <w:sz w:val="28"/>
                <w:szCs w:val="28"/>
                <w:lang w:eastAsia="zh-CN"/>
              </w:rPr>
              <w:t>阐述项目团队人员、应急保障措施、替代方案，得</w:t>
            </w:r>
            <w:r>
              <w:rPr>
                <w:rFonts w:hint="eastAsia" w:ascii="仿宋_GB2312" w:hAnsi="仿宋_GB2312" w:eastAsia="仿宋_GB2312" w:cs="仿宋_GB2312"/>
                <w:sz w:val="28"/>
                <w:szCs w:val="28"/>
                <w:lang w:val="en-US" w:eastAsia="zh-CN"/>
              </w:rPr>
              <w:t>1分。</w:t>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3.无提供不得分。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noWrap w:val="0"/>
            <w:vAlign w:val="top"/>
          </w:tcPr>
          <w:p>
            <w:pPr>
              <w:wordWrap w:val="0"/>
              <w:rPr>
                <w:rFonts w:hint="eastAsia" w:ascii="仿宋_GB2312" w:hAnsi="仿宋_GB2312" w:eastAsia="仿宋_GB2312" w:cs="仿宋_GB2312"/>
                <w:b/>
                <w:bCs/>
                <w:color w:val="0000FF"/>
                <w:sz w:val="28"/>
                <w:szCs w:val="28"/>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售后服务承诺</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rPr>
                <w:rFonts w:hint="eastAsia"/>
                <w:sz w:val="28"/>
                <w:szCs w:val="28"/>
                <w:lang w:eastAsia="zh-CN"/>
              </w:rPr>
            </w:pPr>
            <w:r>
              <w:rPr>
                <w:rFonts w:hint="eastAsia"/>
                <w:sz w:val="28"/>
                <w:szCs w:val="28"/>
                <w:lang w:eastAsia="zh-CN"/>
              </w:rPr>
              <w:t>根据投标人提供售后服务方案（售后服务承诺、响应时间等）。</w:t>
            </w:r>
          </w:p>
          <w:p>
            <w:pPr>
              <w:pStyle w:val="2"/>
              <w:numPr>
                <w:ilvl w:val="0"/>
                <w:numId w:val="3"/>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售后服务方案、服务承诺、响应时间，完全满足且优于用户需求，得2分。</w:t>
            </w:r>
          </w:p>
          <w:p>
            <w:pPr>
              <w:pStyle w:val="2"/>
              <w:numPr>
                <w:ilvl w:val="0"/>
                <w:numId w:val="3"/>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售后服务方案、服务承诺、响应时间，基本满足用户需求，得1分。</w:t>
            </w:r>
          </w:p>
          <w:p>
            <w:pPr>
              <w:pStyle w:val="2"/>
              <w:numPr>
                <w:ilvl w:val="0"/>
                <w:numId w:val="3"/>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售后服务方案、服务承诺、响应时间，部分满足用户需求或无提供，不得分。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4</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诚信情况</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wordWrap w:val="0"/>
              <w:rPr>
                <w:rFonts w:hint="eastAsia" w:ascii="仿宋_GB2312" w:hAnsi="仿宋_GB2312" w:eastAsia="仿宋_GB2312" w:cs="仿宋_GB2312"/>
                <w:b/>
                <w:bCs/>
                <w:color w:val="0000FF"/>
                <w:sz w:val="28"/>
                <w:szCs w:val="28"/>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ascii="仿宋_GB2312" w:hAnsi="仿宋_GB2312" w:eastAsia="仿宋_GB2312" w:cs="仿宋_GB2312"/>
                <w:b/>
                <w:bCs/>
                <w:color w:val="0000FF"/>
                <w:sz w:val="28"/>
                <w:szCs w:val="28"/>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noWrap w:val="0"/>
            <w:vAlign w:val="top"/>
          </w:tcPr>
          <w:p>
            <w:pPr>
              <w:wordWrap w:val="0"/>
              <w:rPr>
                <w:rFonts w:hint="eastAsia" w:ascii="仿宋_GB2312" w:hAnsi="仿宋_GB2312" w:eastAsia="仿宋_GB2312" w:cs="仿宋_GB2312"/>
                <w:b/>
                <w:bCs/>
                <w:color w:val="0000FF"/>
                <w:sz w:val="28"/>
                <w:szCs w:val="28"/>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诚信</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在参与政府采购活动中存在诚信相关问题且在主管部门相关处理措施实施期限内的，本项不得分，否则得满分。</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无需提供任何证明材料，由工作人员向评审委员会提供相关信息。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5</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综合实力</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lang w:val="en-US" w:eastAsia="zh-CN"/>
              </w:rPr>
            </w:pPr>
            <w:r>
              <w:rPr>
                <w:rFonts w:hint="eastAsia" w:ascii="仿宋_GB2312" w:hAnsi="仿宋_GB2312" w:eastAsia="仿宋_GB2312" w:cs="仿宋_GB2312"/>
                <w:b/>
                <w:bCs/>
                <w:color w:val="0000FF"/>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wordWrap w:val="0"/>
              <w:rPr>
                <w:rFonts w:hint="eastAsia" w:ascii="仿宋_GB2312" w:hAnsi="仿宋_GB2312" w:eastAsia="仿宋_GB2312" w:cs="仿宋_GB2312"/>
                <w:b/>
                <w:bCs/>
                <w:color w:val="0000FF"/>
                <w:sz w:val="28"/>
                <w:szCs w:val="28"/>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b/>
                <w:bCs/>
                <w:color w:val="0000FF"/>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ascii="仿宋_GB2312" w:hAnsi="仿宋_GB2312" w:eastAsia="仿宋_GB2312" w:cs="仿宋_GB2312"/>
                <w:b/>
                <w:bCs/>
                <w:color w:val="0000FF"/>
                <w:sz w:val="28"/>
                <w:szCs w:val="28"/>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noWrap w:val="0"/>
            <w:vAlign w:val="top"/>
          </w:tcPr>
          <w:p>
            <w:pPr>
              <w:wordWrap w:val="0"/>
              <w:rPr>
                <w:rFonts w:hint="eastAsia" w:ascii="仿宋_GB2312" w:hAnsi="仿宋_GB2312" w:eastAsia="仿宋_GB2312" w:cs="仿宋_GB2312"/>
                <w:b/>
                <w:bCs/>
                <w:color w:val="0000FF"/>
                <w:sz w:val="28"/>
                <w:szCs w:val="28"/>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投标人近三年同类业绩（以合同签订时</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近三年同类业绩（以合同签订时间为准，截止日为本项目投标截止日）</w:t>
            </w:r>
          </w:p>
        </w:tc>
        <w:tc>
          <w:tcPr>
            <w:tcW w:w="681"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提供2同类业绩即得满分，提供1个得</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分，未提供的不得分。</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必须在投标文件中提供每一个完工项目的合同或验收报告（均加盖合同甲方公章或业务章）扫描件，原件备查，否则不得分。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8EC7E"/>
    <w:multiLevelType w:val="singleLevel"/>
    <w:tmpl w:val="A258EC7E"/>
    <w:lvl w:ilvl="0" w:tentative="0">
      <w:start w:val="1"/>
      <w:numFmt w:val="decimal"/>
      <w:lvlText w:val="%1."/>
      <w:lvlJc w:val="left"/>
      <w:pPr>
        <w:tabs>
          <w:tab w:val="left" w:pos="312"/>
        </w:tabs>
      </w:pPr>
    </w:lvl>
  </w:abstractNum>
  <w:abstractNum w:abstractNumId="1">
    <w:nsid w:val="AFE1C506"/>
    <w:multiLevelType w:val="singleLevel"/>
    <w:tmpl w:val="AFE1C506"/>
    <w:lvl w:ilvl="0" w:tentative="0">
      <w:start w:val="1"/>
      <w:numFmt w:val="decimal"/>
      <w:lvlText w:val="%1."/>
      <w:lvlJc w:val="left"/>
      <w:pPr>
        <w:tabs>
          <w:tab w:val="left" w:pos="312"/>
        </w:tabs>
      </w:pPr>
    </w:lvl>
  </w:abstractNum>
  <w:abstractNum w:abstractNumId="2">
    <w:nsid w:val="17947299"/>
    <w:multiLevelType w:val="singleLevel"/>
    <w:tmpl w:val="17947299"/>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94B8E"/>
    <w:rsid w:val="77D9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pacing w:val="0"/>
      <w:kern w:val="0"/>
      <w:sz w:val="20"/>
      <w:szCs w:val="20"/>
    </w:rPr>
  </w:style>
  <w:style w:type="paragraph" w:styleId="3">
    <w:name w:val="Normal Indent"/>
    <w:basedOn w:val="1"/>
    <w:qFormat/>
    <w:uiPriority w:val="0"/>
    <w:pPr>
      <w:ind w:firstLine="420"/>
    </w:pPr>
    <w:rPr>
      <w:szCs w:val="20"/>
    </w:rPr>
  </w:style>
  <w:style w:type="paragraph" w:styleId="4">
    <w:name w:val="Normal (Web)"/>
    <w:basedOn w:val="1"/>
    <w:qFormat/>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2022-05-07T07:12:00Z</dcterms:created>
  <dc:creator>郑锦婷</dc:creator>
  <cp:lastModifiedBy>郑锦婷</cp:lastModifiedBy>
  <dcterms:modified xsi:type="dcterms:W3CDTF">2022-05-07T07:13:11Z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