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 w:bidi="ar"/>
        </w:rPr>
        <w:t>附件2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深圳市民政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服务机构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三防责任人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名单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96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单位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三防责任人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深圳市宝安区社会救助</w:t>
            </w:r>
          </w:p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综合服务中心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龙岗区救助管理站安置部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赵奉军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深圳市福田区福利中心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徐疆南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深圳市福田区园岭八角楼托养中心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深圳市福田区滨江社区颐康之家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深圳市福田区新兴社区颐康之家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蒋秀凌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深圳市福田区梅京社区颐康之家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龙全英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深圳市福田区田面社区颐康之家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黎镇杰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深圳市福田区景田社区颐康之家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深圳市福田区莲花北社区华龄颐康之家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伍美华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深圳市福田区益田社区颐康之家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深圳市福田区海滨社区颐康之家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李水英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深圳市福田区福保社区颐康之家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段秋红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深圳市福田区润华松鹤颐养中心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卢丽旋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深圳市福田区康欣社区颐康之家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王保珍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深圳市福田区金地海景颐养中心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李立标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深圳市福田区香蜜湖街道长者服务中心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TW" w:bidi="ar"/>
              </w:rPr>
              <w:t>张襄景丽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深圳市福田区沙头街道长者服务中心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深圳市福田区华强北街道长者服务中心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深圳市福田区共享之家3H颐养复康中心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廖能英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深圳市福田区金地花园颐养中心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李立标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深圳市罗湖区黄贝岭颐养院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梁佩靖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深圳市罗湖区翠竹长者服务中心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梁燕英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深圳市悠享家健康服务有限公司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罗朝霞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盐田区社会福利中心·招商观颐之家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张微鹰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沙头角街道长者服务中心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（国寿·盐田区悦享中心）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bidi="ar"/>
              </w:rPr>
              <w:t>梁金娥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复康会颐康护理（深圳）有限公司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bidi="ar"/>
              </w:rPr>
              <w:t>古亮辉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盐田街道长者服务中心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bidi="ar"/>
              </w:rPr>
              <w:t>黄艳清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深圳市南山区社会福利中心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（区社会捐助接收管理站）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曾小莹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深圳市南山区社会福利中心二期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深圳市敬夕阳颐养院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叶高晴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深圳市南山区招商观颐之家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深圳市南山区四海长者颐养院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吕  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南山区桃源街道长者服务中心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南山区招商街道长者服务中心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陈咏钻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深圳市南山区深圳湾社区托养中心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赵辞萍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宝安区福利中心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黄宏杨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深圳市宝安区西乡敬老院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  <w:t>古伟雄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深圳市宝安区沙井敬老院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  <w:t>谢永唐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深圳市宝安区燕罗颐年院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41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深圳市任达爱心护理院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42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深圳市复亚护养院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 w:bidi="ar"/>
              </w:rPr>
              <w:t>秦来平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43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深圳市宝安区前海人寿幸福之家养老院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bidi="ar"/>
              </w:rPr>
              <w:t>何惠玲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44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深圳市宝安区悦年华颐养中心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45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深业颐居养老运营（深圳）有限公司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郑叶芝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46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深圳市宝安区福海街道长者服务中心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江梅群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47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深圳市宝安区航城街道长者服务中心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郑叶芝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48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龙岗区任达爱心护理院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蔡振平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49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深圳市南联颐养中心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庄永君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龙岗区群爱园老年人服务中心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黄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51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龙岗区利群颐养院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薛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52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深圳市共享之家养老服务有限公司龙城店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陈伟民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53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深圳市龙岗区第七人民医院简竹护理院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王运红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54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南湾街道长者服务中心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郑敏婷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55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龙城街道长者服务中心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成海霞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56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龙岗区布吉街道敬老院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陈  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57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龙岗区横岗街道敬老院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吴小霞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58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深圳市龙华区晚晴苑养护院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马英荣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59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民治街道长者服务中心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龙华街道长者服务中心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61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观湖街道长者服务中心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62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坪山区颐康院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杨文芳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63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坑梓街道长者服务中心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 w:bidi="ar"/>
              </w:rPr>
              <w:t>杨小连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64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马峦街道长者服务中心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陈彦君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深圳祈康养老服务有限公司（公明福利院）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66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深高速深高乐康健康服务（深圳）有限公司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（光明社会福利院）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</w:rPr>
              <w:t>67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宝田玉蓢养护院暨公明街道长者服务中心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王雪飞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68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深圳市金海岸颐康院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万德华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69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深圳市知己圆明颐养院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70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深圳市大鹏新区福泰源养老中心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蓝小快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71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南澳街道长者服务中心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深圳市杏健养老服务有限公司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周国香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63178"/>
    <w:rsid w:val="0AE63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2022-03-08T02:49:00Z</dcterms:created>
  <dc:creator>YL</dc:creator>
  <cp:lastModifiedBy>YL</cp:lastModifiedBy>
  <dcterms:modified xsi:type="dcterms:W3CDTF">2022-03-08T02:49:54Z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