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附件：综合评分法评分细则</w:t>
      </w:r>
    </w:p>
    <w:p>
      <w:pPr>
        <w:spacing w:before="156" w:beforeLines="50" w:after="156" w:afterLines="50"/>
        <w:ind w:firstLine="413" w:firstLineChars="196"/>
        <w:jc w:val="center"/>
        <w:rPr>
          <w:rFonts w:hint="eastAsia" w:ascii="宋体" w:hAnsi="宋体" w:eastAsia="宋体" w:cs="宋体"/>
          <w:b/>
          <w:bCs/>
        </w:rPr>
      </w:pPr>
      <w:bookmarkStart w:id="4" w:name="_GoBack"/>
      <w:r>
        <w:rPr>
          <w:rFonts w:hint="eastAsia" w:ascii="宋体" w:hAnsi="宋体" w:eastAsia="宋体" w:cs="宋体"/>
          <w:b/>
          <w:bCs/>
        </w:rPr>
        <w:t>评分细则表</w:t>
      </w:r>
    </w:p>
    <w:bookmarkEnd w:id="4"/>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717"/>
        <w:gridCol w:w="5103"/>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135" w:type="dxa"/>
            <w:gridSpan w:val="4"/>
            <w:noWrap w:val="0"/>
            <w:vAlign w:val="center"/>
          </w:tcPr>
          <w:p>
            <w:pPr>
              <w:autoSpaceDE w:val="0"/>
              <w:autoSpaceDN w:val="0"/>
              <w:adjustRightInd w:val="0"/>
              <w:jc w:val="left"/>
              <w:rPr>
                <w:rFonts w:ascii="宋体" w:hAnsi="宋体" w:cs="宋体"/>
                <w:b/>
                <w:bCs/>
                <w:lang w:val="zh-CN"/>
              </w:rPr>
            </w:pPr>
            <w:bookmarkStart w:id="0" w:name="_Hlk45553009"/>
            <w:r>
              <w:rPr>
                <w:rFonts w:hint="eastAsia" w:ascii="宋体" w:hAnsi="宋体" w:cs="宋体"/>
                <w:b/>
                <w:bCs/>
                <w:lang w:val="zh-CN"/>
              </w:rPr>
              <w:t>评分项及评分规则</w:t>
            </w:r>
          </w:p>
        </w:tc>
        <w:tc>
          <w:tcPr>
            <w:tcW w:w="1130" w:type="dxa"/>
            <w:noWrap w:val="0"/>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noWrap w:val="0"/>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一、价格部分</w:t>
            </w:r>
          </w:p>
        </w:tc>
        <w:tc>
          <w:tcPr>
            <w:tcW w:w="1130" w:type="dxa"/>
            <w:noWrap w:val="0"/>
            <w:vAlign w:val="center"/>
          </w:tcPr>
          <w:p>
            <w:pPr>
              <w:autoSpaceDE w:val="0"/>
              <w:autoSpaceDN w:val="0"/>
              <w:adjustRightInd w:val="0"/>
              <w:jc w:val="left"/>
              <w:rPr>
                <w:rFonts w:ascii="宋体" w:hAnsi="宋体" w:cs="宋体"/>
              </w:rPr>
            </w:pPr>
            <w:r>
              <w:rPr>
                <w:rFonts w:hint="eastAsia" w:ascii="宋体" w:hAnsi="宋体" w:cs="宋体"/>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noWrap w:val="0"/>
            <w:vAlign w:val="center"/>
          </w:tcPr>
          <w:p>
            <w:pPr>
              <w:jc w:val="left"/>
              <w:rPr>
                <w:rFonts w:ascii="宋体" w:hAnsi="宋体" w:cs="宋体"/>
              </w:rPr>
            </w:pPr>
            <w:r>
              <w:rPr>
                <w:rFonts w:hint="eastAsia" w:ascii="宋体" w:hAnsi="宋体" w:cs="宋体"/>
              </w:rPr>
              <w:t>综合评分法中的价格分统一采用低价优先法计算</w:t>
            </w:r>
            <w:r>
              <w:rPr>
                <w:rFonts w:ascii="宋体" w:hAnsi="宋体" w:cs="宋体"/>
              </w:rPr>
              <w:t>,</w:t>
            </w:r>
            <w:r>
              <w:rPr>
                <w:rFonts w:hint="eastAsia" w:ascii="宋体" w:hAnsi="宋体" w:cs="宋体"/>
              </w:rPr>
              <w:t>即满足招标文件要求且投标价格最低的投标报价为评标基准价</w:t>
            </w:r>
            <w:r>
              <w:rPr>
                <w:rFonts w:ascii="宋体" w:hAnsi="宋体" w:cs="宋体"/>
              </w:rPr>
              <w:t>,</w:t>
            </w:r>
            <w:r>
              <w:rPr>
                <w:rFonts w:hint="eastAsia" w:ascii="宋体" w:hAnsi="宋体" w:cs="宋体"/>
              </w:rPr>
              <w:t>其价格分为满分。其他投标人的价格分统一按照下列公式计算：投标报价得分</w:t>
            </w:r>
            <w:r>
              <w:rPr>
                <w:rFonts w:ascii="宋体" w:hAnsi="宋体" w:cs="宋体"/>
              </w:rPr>
              <w:t>=(</w:t>
            </w:r>
            <w:r>
              <w:rPr>
                <w:rFonts w:hint="eastAsia" w:ascii="宋体" w:hAnsi="宋体" w:cs="宋体"/>
              </w:rPr>
              <w:t>评标基准价</w:t>
            </w:r>
            <w:r>
              <w:rPr>
                <w:rFonts w:ascii="宋体" w:hAnsi="宋体" w:cs="宋体"/>
              </w:rPr>
              <w:t>/</w:t>
            </w:r>
            <w:r>
              <w:rPr>
                <w:rFonts w:hint="eastAsia" w:ascii="宋体" w:hAnsi="宋体" w:cs="宋体"/>
              </w:rPr>
              <w:t>投标报价</w:t>
            </w:r>
            <w:r>
              <w:rPr>
                <w:rFonts w:ascii="宋体" w:hAnsi="宋体" w:cs="宋体"/>
              </w:rPr>
              <w:t>)</w:t>
            </w:r>
            <w:r>
              <w:rPr>
                <w:rFonts w:hint="eastAsia" w:ascii="宋体" w:hAnsi="宋体" w:cs="宋体"/>
              </w:rPr>
              <w:t>×权重</w:t>
            </w:r>
          </w:p>
        </w:tc>
        <w:tc>
          <w:tcPr>
            <w:tcW w:w="1130" w:type="dxa"/>
            <w:noWrap w:val="0"/>
            <w:vAlign w:val="center"/>
          </w:tcPr>
          <w:p>
            <w:pPr>
              <w:autoSpaceDE w:val="0"/>
              <w:autoSpaceDN w:val="0"/>
              <w:adjustRightInd w:val="0"/>
              <w:jc w:val="left"/>
              <w:rPr>
                <w:rFonts w:ascii="宋体" w:hAnsi="宋体" w:cs="宋体"/>
                <w:lang w:val="zh-CN"/>
              </w:rPr>
            </w:pPr>
            <w:r>
              <w:rPr>
                <w:rFonts w:hint="eastAsia" w:ascii="宋体" w:hAnsi="宋体" w:cs="宋体"/>
                <w:lang w:val="zh-CN"/>
              </w:rPr>
              <w:t>评分方式</w:t>
            </w:r>
          </w:p>
          <w:p>
            <w:pPr>
              <w:autoSpaceDE w:val="0"/>
              <w:autoSpaceDN w:val="0"/>
              <w:adjustRightInd w:val="0"/>
              <w:jc w:val="left"/>
              <w:rPr>
                <w:rFonts w:ascii="宋体" w:hAnsi="宋体" w:cs="宋体"/>
              </w:rPr>
            </w:pPr>
            <w:r>
              <w:rPr>
                <w:rFonts w:hint="eastAsia" w:ascii="宋体" w:hAnsi="宋体" w:cs="宋体"/>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noWrap w:val="0"/>
            <w:vAlign w:val="center"/>
          </w:tcPr>
          <w:p>
            <w:pPr>
              <w:autoSpaceDE w:val="0"/>
              <w:autoSpaceDN w:val="0"/>
              <w:adjustRightInd w:val="0"/>
              <w:jc w:val="left"/>
              <w:rPr>
                <w:rFonts w:ascii="宋体" w:hAnsi="宋体" w:cs="宋体"/>
                <w:b/>
                <w:bCs/>
              </w:rPr>
            </w:pPr>
            <w:r>
              <w:rPr>
                <w:rFonts w:hint="eastAsia" w:ascii="宋体" w:hAnsi="宋体" w:cs="宋体"/>
                <w:b/>
                <w:bCs/>
                <w:lang w:val="zh-CN"/>
              </w:rPr>
              <w:t>二、综合实力部分</w:t>
            </w:r>
          </w:p>
        </w:tc>
        <w:tc>
          <w:tcPr>
            <w:tcW w:w="1130" w:type="dxa"/>
            <w:noWrap w:val="0"/>
            <w:vAlign w:val="center"/>
          </w:tcPr>
          <w:p>
            <w:pPr>
              <w:autoSpaceDE w:val="0"/>
              <w:autoSpaceDN w:val="0"/>
              <w:adjustRightInd w:val="0"/>
              <w:jc w:val="left"/>
              <w:rPr>
                <w:rFonts w:hint="default" w:ascii="宋体" w:hAnsi="宋体" w:eastAsia="宋体" w:cs="宋体"/>
                <w:color w:val="000000"/>
                <w:lang w:val="en-US" w:eastAsia="zh-CN"/>
              </w:rPr>
            </w:pPr>
            <w:r>
              <w:rPr>
                <w:rFonts w:hint="eastAsia" w:ascii="宋体" w:hAnsi="宋体" w:cs="宋体"/>
                <w:color w:val="000000"/>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noWrap w:val="0"/>
            <w:vAlign w:val="center"/>
          </w:tcPr>
          <w:p>
            <w:pPr>
              <w:autoSpaceDE w:val="0"/>
              <w:autoSpaceDN w:val="0"/>
              <w:adjustRightInd w:val="0"/>
              <w:jc w:val="center"/>
              <w:rPr>
                <w:rFonts w:ascii="宋体" w:hAnsi="宋体" w:cs="宋体"/>
              </w:rPr>
            </w:pPr>
            <w:r>
              <w:rPr>
                <w:rFonts w:hint="eastAsia" w:ascii="宋体" w:hAnsi="宋体" w:cs="宋体"/>
                <w:lang w:val="zh-CN"/>
              </w:rPr>
              <w:t>序号</w:t>
            </w:r>
          </w:p>
        </w:tc>
        <w:tc>
          <w:tcPr>
            <w:tcW w:w="1704" w:type="dxa"/>
            <w:noWrap w:val="0"/>
            <w:vAlign w:val="center"/>
          </w:tcPr>
          <w:p>
            <w:pPr>
              <w:autoSpaceDE w:val="0"/>
              <w:autoSpaceDN w:val="0"/>
              <w:adjustRightInd w:val="0"/>
              <w:jc w:val="center"/>
              <w:rPr>
                <w:rFonts w:ascii="宋体" w:hAnsi="宋体" w:cs="宋体"/>
              </w:rPr>
            </w:pPr>
            <w:r>
              <w:rPr>
                <w:rFonts w:hint="eastAsia" w:ascii="宋体" w:hAnsi="宋体" w:cs="宋体"/>
                <w:lang w:val="zh-CN"/>
              </w:rPr>
              <w:t>内容</w:t>
            </w:r>
          </w:p>
        </w:tc>
        <w:tc>
          <w:tcPr>
            <w:tcW w:w="717" w:type="dxa"/>
            <w:noWrap w:val="0"/>
            <w:vAlign w:val="center"/>
          </w:tcPr>
          <w:p>
            <w:pPr>
              <w:autoSpaceDE w:val="0"/>
              <w:autoSpaceDN w:val="0"/>
              <w:adjustRightInd w:val="0"/>
              <w:jc w:val="center"/>
              <w:rPr>
                <w:rFonts w:ascii="宋体" w:hAnsi="宋体" w:cs="宋体"/>
              </w:rPr>
            </w:pPr>
            <w:r>
              <w:rPr>
                <w:rFonts w:hint="eastAsia" w:ascii="宋体" w:hAnsi="宋体" w:cs="宋体"/>
                <w:lang w:val="zh-CN"/>
              </w:rPr>
              <w:t>权重</w:t>
            </w:r>
          </w:p>
        </w:tc>
        <w:tc>
          <w:tcPr>
            <w:tcW w:w="5103" w:type="dxa"/>
            <w:noWrap w:val="0"/>
            <w:vAlign w:val="center"/>
          </w:tcPr>
          <w:p>
            <w:pPr>
              <w:autoSpaceDE w:val="0"/>
              <w:autoSpaceDN w:val="0"/>
              <w:adjustRightInd w:val="0"/>
              <w:jc w:val="center"/>
              <w:rPr>
                <w:rFonts w:ascii="宋体" w:hAnsi="宋体" w:cs="宋体"/>
              </w:rPr>
            </w:pPr>
            <w:r>
              <w:rPr>
                <w:rFonts w:hint="eastAsia" w:ascii="宋体" w:hAnsi="宋体" w:cs="宋体"/>
                <w:lang w:val="zh-CN"/>
              </w:rPr>
              <w:t>评分规则</w:t>
            </w:r>
          </w:p>
        </w:tc>
        <w:tc>
          <w:tcPr>
            <w:tcW w:w="1130" w:type="dxa"/>
            <w:noWrap w:val="0"/>
            <w:vAlign w:val="center"/>
          </w:tcPr>
          <w:p>
            <w:pPr>
              <w:autoSpaceDE w:val="0"/>
              <w:autoSpaceDN w:val="0"/>
              <w:adjustRightInd w:val="0"/>
              <w:jc w:val="center"/>
              <w:rPr>
                <w:rFonts w:ascii="宋体" w:hAnsi="宋体" w:cs="宋体"/>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611" w:type="dxa"/>
            <w:noWrap w:val="0"/>
            <w:vAlign w:val="center"/>
          </w:tcPr>
          <w:p>
            <w:pPr>
              <w:autoSpaceDE w:val="0"/>
              <w:autoSpaceDN w:val="0"/>
              <w:adjustRightInd w:val="0"/>
              <w:jc w:val="left"/>
              <w:rPr>
                <w:rFonts w:ascii="宋体" w:hAnsi="宋体"/>
              </w:rPr>
            </w:pPr>
            <w:r>
              <w:rPr>
                <w:rFonts w:ascii="宋体" w:hAnsi="宋体" w:cs="宋体"/>
              </w:rPr>
              <w:t>1</w:t>
            </w:r>
          </w:p>
        </w:tc>
        <w:tc>
          <w:tcPr>
            <w:tcW w:w="1704" w:type="dxa"/>
            <w:noWrap w:val="0"/>
            <w:vAlign w:val="center"/>
          </w:tcPr>
          <w:p>
            <w:pPr>
              <w:widowControl/>
              <w:snapToGrid w:val="0"/>
              <w:jc w:val="left"/>
            </w:pPr>
            <w:r>
              <w:rPr>
                <w:rFonts w:hint="eastAsia"/>
              </w:rPr>
              <w:t>实施方案</w:t>
            </w:r>
          </w:p>
        </w:tc>
        <w:tc>
          <w:tcPr>
            <w:tcW w:w="717" w:type="dxa"/>
            <w:noWrap w:val="0"/>
            <w:vAlign w:val="center"/>
          </w:tcPr>
          <w:p>
            <w:pPr>
              <w:snapToGrid w:val="0"/>
              <w:jc w:val="left"/>
              <w:rPr>
                <w:bCs/>
                <w:kern w:val="44"/>
              </w:rPr>
            </w:pPr>
            <w:r>
              <w:rPr>
                <w:bCs/>
                <w:kern w:val="44"/>
              </w:rPr>
              <w:t>10</w:t>
            </w:r>
          </w:p>
        </w:tc>
        <w:tc>
          <w:tcPr>
            <w:tcW w:w="5103" w:type="dxa"/>
            <w:noWrap w:val="0"/>
            <w:vAlign w:val="center"/>
          </w:tcPr>
          <w:p>
            <w:pPr>
              <w:jc w:val="left"/>
            </w:pPr>
            <w:r>
              <w:rPr>
                <w:rFonts w:hint="eastAsia"/>
              </w:rPr>
              <w:t>项目实施方案（包括工作措施、工作方法、工作手段、工作流程等）紧密围绕招标需求，切合实际、设计科学、措施可行。</w:t>
            </w:r>
          </w:p>
          <w:p>
            <w:pPr>
              <w:jc w:val="left"/>
            </w:pPr>
            <w:r>
              <w:rPr>
                <w:rFonts w:hint="eastAsia"/>
              </w:rPr>
              <w:t>按照投标文件响应情况进行横向比较，分档评分：</w:t>
            </w:r>
          </w:p>
          <w:p>
            <w:pPr>
              <w:jc w:val="left"/>
            </w:pPr>
            <w:r>
              <w:rPr>
                <w:rFonts w:hint="eastAsia"/>
              </w:rPr>
              <w:t>工作方案提出具体计划、详细工作内容、实施步骤、时间节点安排，充分满足采购方需求的，评级为优，得10分；</w:t>
            </w:r>
          </w:p>
          <w:p>
            <w:pPr>
              <w:jc w:val="left"/>
            </w:pPr>
            <w:r>
              <w:rPr>
                <w:rFonts w:hint="eastAsia"/>
              </w:rPr>
              <w:t>工作方案较为详细、可行，计划安排合理，可以满足采购方需求的，评价为良，得8分；</w:t>
            </w:r>
          </w:p>
          <w:p>
            <w:pPr>
              <w:jc w:val="left"/>
            </w:pPr>
            <w:r>
              <w:rPr>
                <w:rFonts w:hint="eastAsia"/>
              </w:rPr>
              <w:t>工作方案一般、基本符合采购方需求的，评价为中，得6分；</w:t>
            </w:r>
          </w:p>
          <w:p>
            <w:pPr>
              <w:snapToGrid w:val="0"/>
              <w:jc w:val="left"/>
              <w:rPr>
                <w:bCs/>
                <w:color w:val="0000FF"/>
              </w:rPr>
            </w:pPr>
            <w:r>
              <w:rPr>
                <w:rFonts w:hint="eastAsia"/>
              </w:rPr>
              <w:t>工作方案内容不够详实、存在缺失的，评价为差，不得分；</w:t>
            </w:r>
            <w:r>
              <w:rPr>
                <w:bCs/>
                <w:color w:val="0000FF"/>
              </w:rPr>
              <w:t xml:space="preserve"> </w:t>
            </w:r>
          </w:p>
        </w:tc>
        <w:tc>
          <w:tcPr>
            <w:tcW w:w="1130" w:type="dxa"/>
            <w:noWrap w:val="0"/>
            <w:vAlign w:val="center"/>
          </w:tcPr>
          <w:p>
            <w:pPr>
              <w:autoSpaceDE w:val="0"/>
              <w:autoSpaceDN w:val="0"/>
              <w:adjustRightInd w:val="0"/>
              <w:jc w:val="left"/>
              <w:rPr>
                <w:rFonts w:ascii="宋体" w:hAnsi="宋体" w:cs="宋体"/>
                <w:lang w:val="zh-CN"/>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noWrap w:val="0"/>
            <w:vAlign w:val="center"/>
          </w:tcPr>
          <w:p>
            <w:pPr>
              <w:autoSpaceDE w:val="0"/>
              <w:autoSpaceDN w:val="0"/>
              <w:adjustRightInd w:val="0"/>
              <w:jc w:val="left"/>
              <w:rPr>
                <w:rFonts w:ascii="宋体" w:hAnsi="宋体"/>
              </w:rPr>
            </w:pPr>
            <w:r>
              <w:rPr>
                <w:rFonts w:ascii="宋体" w:hAnsi="宋体" w:cs="宋体"/>
              </w:rPr>
              <w:t>2</w:t>
            </w:r>
          </w:p>
        </w:tc>
        <w:tc>
          <w:tcPr>
            <w:tcW w:w="1704" w:type="dxa"/>
            <w:noWrap w:val="0"/>
            <w:vAlign w:val="center"/>
          </w:tcPr>
          <w:p>
            <w:pPr>
              <w:snapToGrid w:val="0"/>
              <w:jc w:val="left"/>
              <w:rPr>
                <w:bCs/>
                <w:kern w:val="44"/>
              </w:rPr>
            </w:pPr>
            <w:r>
              <w:rPr>
                <w:rFonts w:hint="eastAsia"/>
              </w:rPr>
              <w:t>项目难点分析及应对措施</w:t>
            </w:r>
          </w:p>
        </w:tc>
        <w:tc>
          <w:tcPr>
            <w:tcW w:w="717" w:type="dxa"/>
            <w:noWrap w:val="0"/>
            <w:vAlign w:val="center"/>
          </w:tcPr>
          <w:p>
            <w:pPr>
              <w:snapToGrid w:val="0"/>
              <w:jc w:val="left"/>
              <w:rPr>
                <w:bCs/>
                <w:kern w:val="44"/>
              </w:rPr>
            </w:pPr>
            <w:r>
              <w:rPr>
                <w:bCs/>
                <w:kern w:val="44"/>
              </w:rPr>
              <w:t>10</w:t>
            </w:r>
          </w:p>
        </w:tc>
        <w:tc>
          <w:tcPr>
            <w:tcW w:w="5103" w:type="dxa"/>
            <w:noWrap w:val="0"/>
            <w:vAlign w:val="center"/>
          </w:tcPr>
          <w:p>
            <w:pPr>
              <w:jc w:val="left"/>
            </w:pPr>
            <w:r>
              <w:rPr>
                <w:rFonts w:hint="eastAsia"/>
              </w:rPr>
              <w:t>项目重点、难点分析到位，应对措施全面、科学、可行。</w:t>
            </w:r>
          </w:p>
          <w:p>
            <w:pPr>
              <w:jc w:val="left"/>
            </w:pPr>
            <w:r>
              <w:rPr>
                <w:rFonts w:hint="eastAsia"/>
              </w:rPr>
              <w:t>按照投标文件响应情况进行横向比较，分档评分：</w:t>
            </w:r>
          </w:p>
          <w:p>
            <w:pPr>
              <w:jc w:val="left"/>
            </w:pPr>
            <w:r>
              <w:rPr>
                <w:rFonts w:hint="eastAsia"/>
              </w:rPr>
              <w:t>对项目难点、重点理解全面、清晰，提出应对措施科学、详细、有针对性，能充分满足采购方需求的，评级为优，得10分；</w:t>
            </w:r>
          </w:p>
          <w:p>
            <w:pPr>
              <w:jc w:val="left"/>
            </w:pPr>
            <w:r>
              <w:rPr>
                <w:rFonts w:hint="eastAsia"/>
              </w:rPr>
              <w:t>对项目难点、重点理解较为详细，提出应对措施合理、可行，能够满足采购方需求的，对评价为良，得8分；</w:t>
            </w:r>
          </w:p>
          <w:p>
            <w:pPr>
              <w:jc w:val="left"/>
            </w:pPr>
            <w:r>
              <w:rPr>
                <w:rFonts w:hint="eastAsia"/>
              </w:rPr>
              <w:t>对项目难点、重点理解完整，提出应对措施基本可行，基本符合采购方需求的，评价为中，得6分；</w:t>
            </w:r>
          </w:p>
          <w:p>
            <w:pPr>
              <w:snapToGrid w:val="0"/>
              <w:jc w:val="left"/>
            </w:pPr>
            <w:r>
              <w:rPr>
                <w:rFonts w:hint="eastAsia"/>
              </w:rPr>
              <w:t>对项目难点、重点分析不够全面、详实，应对措施存在缺失的，评价为差，不得分。</w:t>
            </w:r>
            <w:r>
              <w:t xml:space="preserve"> </w:t>
            </w:r>
          </w:p>
        </w:tc>
        <w:tc>
          <w:tcPr>
            <w:tcW w:w="1130" w:type="dxa"/>
            <w:noWrap w:val="0"/>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611" w:type="dxa"/>
            <w:noWrap w:val="0"/>
            <w:vAlign w:val="center"/>
          </w:tcPr>
          <w:p>
            <w:pPr>
              <w:autoSpaceDE w:val="0"/>
              <w:autoSpaceDN w:val="0"/>
              <w:adjustRightInd w:val="0"/>
              <w:jc w:val="left"/>
              <w:rPr>
                <w:rFonts w:ascii="宋体" w:hAnsi="宋体"/>
                <w:lang w:val="zh-CN"/>
              </w:rPr>
            </w:pPr>
            <w:r>
              <w:rPr>
                <w:rFonts w:ascii="宋体" w:hAnsi="宋体" w:cs="宋体"/>
              </w:rPr>
              <w:t>3</w:t>
            </w:r>
          </w:p>
        </w:tc>
        <w:tc>
          <w:tcPr>
            <w:tcW w:w="1704" w:type="dxa"/>
            <w:noWrap w:val="0"/>
            <w:vAlign w:val="center"/>
          </w:tcPr>
          <w:p>
            <w:pPr>
              <w:snapToGrid w:val="0"/>
              <w:jc w:val="left"/>
              <w:rPr>
                <w:bCs/>
                <w:kern w:val="44"/>
              </w:rPr>
            </w:pPr>
            <w:r>
              <w:rPr>
                <w:rFonts w:hint="eastAsia"/>
              </w:rPr>
              <w:t>质量保障措施及方案</w:t>
            </w:r>
          </w:p>
        </w:tc>
        <w:tc>
          <w:tcPr>
            <w:tcW w:w="717" w:type="dxa"/>
            <w:noWrap w:val="0"/>
            <w:vAlign w:val="center"/>
          </w:tcPr>
          <w:p>
            <w:pPr>
              <w:snapToGrid w:val="0"/>
              <w:jc w:val="left"/>
              <w:rPr>
                <w:bCs/>
                <w:kern w:val="44"/>
              </w:rPr>
            </w:pPr>
            <w:r>
              <w:rPr>
                <w:bCs/>
                <w:kern w:val="44"/>
              </w:rPr>
              <w:t>10</w:t>
            </w:r>
          </w:p>
        </w:tc>
        <w:tc>
          <w:tcPr>
            <w:tcW w:w="5103" w:type="dxa"/>
            <w:noWrap w:val="0"/>
            <w:vAlign w:val="center"/>
          </w:tcPr>
          <w:p>
            <w:pPr>
              <w:jc w:val="left"/>
            </w:pPr>
            <w:r>
              <w:rPr>
                <w:rFonts w:hint="eastAsia"/>
              </w:rPr>
              <w:t>制定数据质量评价标准及管控方案，标准及方案科学合理。</w:t>
            </w:r>
          </w:p>
          <w:p>
            <w:pPr>
              <w:jc w:val="left"/>
            </w:pPr>
            <w:r>
              <w:rPr>
                <w:rFonts w:hint="eastAsia"/>
              </w:rPr>
              <w:t>按照投标文件响应情况进行横向比较，分档评分：</w:t>
            </w:r>
          </w:p>
          <w:p>
            <w:pPr>
              <w:jc w:val="left"/>
            </w:pPr>
            <w:r>
              <w:rPr>
                <w:rFonts w:hint="eastAsia"/>
              </w:rPr>
              <w:t>方案科学、详实、合理，充分满足采购人需求的，评级为优，得10分；</w:t>
            </w:r>
          </w:p>
          <w:p>
            <w:pPr>
              <w:jc w:val="left"/>
            </w:pPr>
            <w:r>
              <w:rPr>
                <w:rFonts w:hint="eastAsia"/>
              </w:rPr>
              <w:t>方案较为详细、可行，能够满足采购人需求的，评价为良，得8分；方案基本完整，基本满足采购人需求的，评价为中，得6分；</w:t>
            </w:r>
          </w:p>
          <w:p>
            <w:pPr>
              <w:snapToGrid w:val="0"/>
              <w:jc w:val="left"/>
            </w:pPr>
            <w:r>
              <w:rPr>
                <w:rFonts w:hint="eastAsia"/>
              </w:rPr>
              <w:t>方案不够全面，存在缺失的，评价为差，不得分。</w:t>
            </w:r>
          </w:p>
        </w:tc>
        <w:tc>
          <w:tcPr>
            <w:tcW w:w="1130" w:type="dxa"/>
            <w:noWrap w:val="0"/>
            <w:vAlign w:val="center"/>
          </w:tcPr>
          <w:p>
            <w:pPr>
              <w:jc w:val="left"/>
              <w:rPr>
                <w:rFonts w:ascii="宋体" w:hAnsi="宋体" w:cs="宋体"/>
              </w:rPr>
            </w:pPr>
            <w:bookmarkStart w:id="1" w:name="OLE_LINK87"/>
            <w:bookmarkStart w:id="2" w:name="OLE_LINK85"/>
            <w:bookmarkStart w:id="3" w:name="OLE_LINK86"/>
            <w:r>
              <w:rPr>
                <w:rFonts w:hint="eastAsia" w:ascii="宋体" w:hAnsi="宋体" w:cs="宋体"/>
                <w:lang w:val="zh-CN"/>
              </w:rPr>
              <w:t>专家打分</w:t>
            </w:r>
            <w:bookmarkEnd w:id="1"/>
            <w:bookmarkEnd w:id="2"/>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noWrap w:val="0"/>
            <w:vAlign w:val="center"/>
          </w:tcPr>
          <w:p>
            <w:pPr>
              <w:autoSpaceDE w:val="0"/>
              <w:autoSpaceDN w:val="0"/>
              <w:adjustRightInd w:val="0"/>
              <w:jc w:val="left"/>
              <w:rPr>
                <w:rFonts w:ascii="宋体" w:hAnsi="宋体"/>
              </w:rPr>
            </w:pPr>
            <w:r>
              <w:rPr>
                <w:rFonts w:ascii="宋体" w:hAnsi="宋体" w:cs="宋体"/>
              </w:rPr>
              <w:t>4</w:t>
            </w:r>
          </w:p>
        </w:tc>
        <w:tc>
          <w:tcPr>
            <w:tcW w:w="1704" w:type="dxa"/>
            <w:noWrap w:val="0"/>
            <w:vAlign w:val="center"/>
          </w:tcPr>
          <w:p>
            <w:pPr>
              <w:snapToGrid w:val="0"/>
              <w:jc w:val="left"/>
              <w:rPr>
                <w:bCs/>
                <w:kern w:val="44"/>
              </w:rPr>
            </w:pPr>
            <w:r>
              <w:rPr>
                <w:rFonts w:hint="eastAsia"/>
              </w:rPr>
              <w:t>售后和保密方案</w:t>
            </w:r>
          </w:p>
        </w:tc>
        <w:tc>
          <w:tcPr>
            <w:tcW w:w="717" w:type="dxa"/>
            <w:noWrap w:val="0"/>
            <w:vAlign w:val="center"/>
          </w:tcPr>
          <w:p>
            <w:pPr>
              <w:snapToGrid w:val="0"/>
              <w:jc w:val="left"/>
              <w:rPr>
                <w:rFonts w:hint="eastAsia" w:eastAsia="宋体"/>
                <w:bCs/>
                <w:kern w:val="44"/>
                <w:lang w:eastAsia="zh-CN"/>
              </w:rPr>
            </w:pPr>
            <w:r>
              <w:rPr>
                <w:rFonts w:hint="eastAsia"/>
                <w:bCs/>
                <w:kern w:val="44"/>
                <w:lang w:val="en-US" w:eastAsia="zh-CN"/>
              </w:rPr>
              <w:t>5</w:t>
            </w:r>
          </w:p>
        </w:tc>
        <w:tc>
          <w:tcPr>
            <w:tcW w:w="5103" w:type="dxa"/>
            <w:noWrap w:val="0"/>
            <w:vAlign w:val="center"/>
          </w:tcPr>
          <w:p>
            <w:pPr>
              <w:snapToGrid w:val="0"/>
              <w:jc w:val="left"/>
            </w:pPr>
            <w:r>
              <w:t>满足本项目 “服务期限”要求，且各阶段进度计划安排合理，并与工作内容吻合。评价为优得</w:t>
            </w:r>
            <w:r>
              <w:rPr>
                <w:rFonts w:hint="eastAsia"/>
                <w:lang w:val="en-US" w:eastAsia="zh-CN"/>
              </w:rPr>
              <w:t>5</w:t>
            </w:r>
            <w:r>
              <w:t>，评价为良得</w:t>
            </w:r>
            <w:r>
              <w:rPr>
                <w:rFonts w:hint="eastAsia"/>
                <w:lang w:val="en-US" w:eastAsia="zh-CN"/>
              </w:rPr>
              <w:t>3</w:t>
            </w:r>
            <w:r>
              <w:t>，评价为中得</w:t>
            </w:r>
            <w:r>
              <w:rPr>
                <w:rFonts w:hint="eastAsia"/>
              </w:rPr>
              <w:t>1</w:t>
            </w:r>
            <w:r>
              <w:t>，评价为差</w:t>
            </w:r>
            <w:r>
              <w:rPr>
                <w:rFonts w:hint="eastAsia"/>
              </w:rPr>
              <w:t>不得分。</w:t>
            </w:r>
          </w:p>
        </w:tc>
        <w:tc>
          <w:tcPr>
            <w:tcW w:w="1130" w:type="dxa"/>
            <w:noWrap w:val="0"/>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noWrap w:val="0"/>
            <w:vAlign w:val="center"/>
          </w:tcPr>
          <w:p>
            <w:pPr>
              <w:autoSpaceDE w:val="0"/>
              <w:autoSpaceDN w:val="0"/>
              <w:adjustRightInd w:val="0"/>
              <w:jc w:val="left"/>
              <w:rPr>
                <w:rFonts w:ascii="宋体" w:hAnsi="宋体"/>
              </w:rPr>
            </w:pPr>
            <w:r>
              <w:rPr>
                <w:rFonts w:ascii="宋体" w:hAnsi="宋体" w:cs="宋体"/>
              </w:rPr>
              <w:t>5</w:t>
            </w:r>
          </w:p>
        </w:tc>
        <w:tc>
          <w:tcPr>
            <w:tcW w:w="1704" w:type="dxa"/>
            <w:noWrap w:val="0"/>
            <w:vAlign w:val="center"/>
          </w:tcPr>
          <w:p>
            <w:pPr>
              <w:snapToGrid w:val="0"/>
              <w:jc w:val="left"/>
              <w:rPr>
                <w:rFonts w:cs="仿宋"/>
                <w:bCs/>
              </w:rPr>
            </w:pPr>
            <w:r>
              <w:t>违约承诺</w:t>
            </w:r>
          </w:p>
        </w:tc>
        <w:tc>
          <w:tcPr>
            <w:tcW w:w="717" w:type="dxa"/>
            <w:noWrap w:val="0"/>
            <w:vAlign w:val="center"/>
          </w:tcPr>
          <w:p>
            <w:pPr>
              <w:snapToGrid w:val="0"/>
              <w:jc w:val="left"/>
              <w:rPr>
                <w:rFonts w:hint="eastAsia" w:eastAsia="宋体"/>
                <w:bCs/>
                <w:kern w:val="44"/>
                <w:lang w:eastAsia="zh-CN"/>
              </w:rPr>
            </w:pPr>
            <w:r>
              <w:rPr>
                <w:rFonts w:hint="eastAsia"/>
                <w:bCs/>
                <w:kern w:val="44"/>
                <w:lang w:val="en-US" w:eastAsia="zh-CN"/>
              </w:rPr>
              <w:t>5</w:t>
            </w:r>
          </w:p>
        </w:tc>
        <w:tc>
          <w:tcPr>
            <w:tcW w:w="5103" w:type="dxa"/>
            <w:noWrap w:val="0"/>
            <w:vAlign w:val="center"/>
          </w:tcPr>
          <w:p>
            <w:pPr>
              <w:jc w:val="left"/>
            </w:pPr>
            <w:r>
              <w:rPr>
                <w:rFonts w:hint="eastAsia"/>
              </w:rPr>
              <w:t>按照投标文件响应情况进行横向比较，分档评分：</w:t>
            </w:r>
          </w:p>
          <w:p>
            <w:pPr>
              <w:jc w:val="left"/>
            </w:pPr>
            <w:r>
              <w:rPr>
                <w:rFonts w:hint="eastAsia"/>
              </w:rPr>
              <w:t>违约承诺与工作方案充分匹配，科学保障项目成功实施的，评级为优，得</w:t>
            </w:r>
            <w:r>
              <w:rPr>
                <w:rFonts w:hint="eastAsia"/>
                <w:lang w:val="en-US" w:eastAsia="zh-CN"/>
              </w:rPr>
              <w:t>5</w:t>
            </w:r>
            <w:r>
              <w:rPr>
                <w:rFonts w:hint="eastAsia"/>
              </w:rPr>
              <w:t>分；</w:t>
            </w:r>
          </w:p>
          <w:p>
            <w:pPr>
              <w:jc w:val="left"/>
            </w:pPr>
            <w:r>
              <w:rPr>
                <w:rFonts w:hint="eastAsia"/>
              </w:rPr>
              <w:t>违约承诺与工作方案合理匹配，能够保障项目顺利实施的，评价为良，得</w:t>
            </w:r>
            <w:r>
              <w:rPr>
                <w:rFonts w:hint="eastAsia"/>
                <w:lang w:val="en-US" w:eastAsia="zh-CN"/>
              </w:rPr>
              <w:t>3</w:t>
            </w:r>
            <w:r>
              <w:rPr>
                <w:rFonts w:hint="eastAsia"/>
              </w:rPr>
              <w:t>分；</w:t>
            </w:r>
          </w:p>
          <w:p>
            <w:pPr>
              <w:jc w:val="left"/>
            </w:pPr>
            <w:r>
              <w:rPr>
                <w:rFonts w:hint="eastAsia"/>
              </w:rPr>
              <w:t>违约承诺与工作方案基本匹配，基本保障项目完成的，评价为中，得</w:t>
            </w:r>
            <w:r>
              <w:rPr>
                <w:rFonts w:hint="eastAsia"/>
                <w:lang w:val="en-US" w:eastAsia="zh-CN"/>
              </w:rPr>
              <w:t>1</w:t>
            </w:r>
            <w:r>
              <w:rPr>
                <w:rFonts w:hint="eastAsia"/>
              </w:rPr>
              <w:t>分；</w:t>
            </w:r>
          </w:p>
          <w:p>
            <w:pPr>
              <w:jc w:val="left"/>
              <w:rPr>
                <w:bCs/>
                <w:kern w:val="44"/>
              </w:rPr>
            </w:pPr>
            <w:r>
              <w:rPr>
                <w:rFonts w:hint="eastAsia"/>
              </w:rPr>
              <w:t>违约承诺与工作方案不能很好匹配的，评价为差，不得分。</w:t>
            </w:r>
          </w:p>
        </w:tc>
        <w:tc>
          <w:tcPr>
            <w:tcW w:w="1130" w:type="dxa"/>
            <w:noWrap w:val="0"/>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noWrap w:val="0"/>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三、技术部分</w:t>
            </w:r>
          </w:p>
        </w:tc>
        <w:tc>
          <w:tcPr>
            <w:tcW w:w="1130" w:type="dxa"/>
            <w:noWrap w:val="0"/>
            <w:vAlign w:val="center"/>
          </w:tcPr>
          <w:p>
            <w:pPr>
              <w:autoSpaceDE w:val="0"/>
              <w:autoSpaceDN w:val="0"/>
              <w:adjustRightInd w:val="0"/>
              <w:jc w:val="left"/>
              <w:rPr>
                <w:rFonts w:hint="eastAsia" w:ascii="宋体" w:hAnsi="宋体" w:eastAsia="宋体" w:cs="宋体"/>
                <w:color w:val="000000"/>
                <w:lang w:eastAsia="zh-CN"/>
              </w:rPr>
            </w:pPr>
            <w:r>
              <w:rPr>
                <w:rFonts w:hint="eastAsia" w:ascii="宋体" w:hAnsi="宋体" w:cs="宋体"/>
                <w:color w:val="000000"/>
              </w:rPr>
              <w:t>4</w:t>
            </w:r>
            <w:r>
              <w:rPr>
                <w:rFonts w:hint="eastAsia" w:ascii="宋体" w:hAnsi="宋体" w:cs="宋体"/>
                <w:color w:val="000000"/>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noWrap w:val="0"/>
            <w:vAlign w:val="center"/>
          </w:tcPr>
          <w:p>
            <w:pPr>
              <w:autoSpaceDE w:val="0"/>
              <w:autoSpaceDN w:val="0"/>
              <w:adjustRightInd w:val="0"/>
              <w:jc w:val="center"/>
              <w:rPr>
                <w:rFonts w:ascii="宋体" w:hAnsi="宋体" w:cs="宋体"/>
              </w:rPr>
            </w:pPr>
            <w:r>
              <w:rPr>
                <w:rFonts w:hint="eastAsia" w:ascii="宋体" w:hAnsi="宋体" w:cs="宋体"/>
                <w:lang w:val="zh-CN"/>
              </w:rPr>
              <w:t>序号</w:t>
            </w:r>
          </w:p>
        </w:tc>
        <w:tc>
          <w:tcPr>
            <w:tcW w:w="1704" w:type="dxa"/>
            <w:noWrap w:val="0"/>
            <w:vAlign w:val="center"/>
          </w:tcPr>
          <w:p>
            <w:pPr>
              <w:autoSpaceDE w:val="0"/>
              <w:autoSpaceDN w:val="0"/>
              <w:adjustRightInd w:val="0"/>
              <w:jc w:val="center"/>
              <w:rPr>
                <w:rFonts w:ascii="宋体" w:hAnsi="宋体" w:cs="宋体"/>
              </w:rPr>
            </w:pPr>
            <w:r>
              <w:rPr>
                <w:rFonts w:hint="eastAsia" w:ascii="宋体" w:hAnsi="宋体" w:cs="宋体"/>
                <w:lang w:val="zh-CN"/>
              </w:rPr>
              <w:t>内容</w:t>
            </w:r>
          </w:p>
        </w:tc>
        <w:tc>
          <w:tcPr>
            <w:tcW w:w="717" w:type="dxa"/>
            <w:noWrap w:val="0"/>
            <w:vAlign w:val="center"/>
          </w:tcPr>
          <w:p>
            <w:pPr>
              <w:autoSpaceDE w:val="0"/>
              <w:autoSpaceDN w:val="0"/>
              <w:adjustRightInd w:val="0"/>
              <w:jc w:val="center"/>
              <w:rPr>
                <w:rFonts w:ascii="宋体" w:hAnsi="宋体" w:cs="宋体"/>
              </w:rPr>
            </w:pPr>
            <w:r>
              <w:rPr>
                <w:rFonts w:hint="eastAsia" w:ascii="宋体" w:hAnsi="宋体" w:cs="宋体"/>
                <w:lang w:val="zh-CN"/>
              </w:rPr>
              <w:t>权重</w:t>
            </w:r>
          </w:p>
        </w:tc>
        <w:tc>
          <w:tcPr>
            <w:tcW w:w="5103" w:type="dxa"/>
            <w:noWrap w:val="0"/>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评分规则</w:t>
            </w:r>
          </w:p>
        </w:tc>
        <w:tc>
          <w:tcPr>
            <w:tcW w:w="1130" w:type="dxa"/>
            <w:noWrap w:val="0"/>
            <w:vAlign w:val="center"/>
          </w:tcPr>
          <w:p>
            <w:pPr>
              <w:autoSpaceDE w:val="0"/>
              <w:autoSpaceDN w:val="0"/>
              <w:adjustRightInd w:val="0"/>
              <w:jc w:val="center"/>
              <w:rPr>
                <w:rFonts w:ascii="宋体" w:hAnsi="宋体" w:cs="宋体"/>
                <w:lang w:val="zh-CN"/>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noWrap w:val="0"/>
            <w:vAlign w:val="center"/>
          </w:tcPr>
          <w:p>
            <w:pPr>
              <w:autoSpaceDE w:val="0"/>
              <w:autoSpaceDN w:val="0"/>
              <w:adjustRightInd w:val="0"/>
              <w:jc w:val="left"/>
              <w:rPr>
                <w:rFonts w:ascii="宋体" w:hAnsi="宋体"/>
                <w:lang w:val="zh-CN"/>
              </w:rPr>
            </w:pPr>
            <w:r>
              <w:rPr>
                <w:rFonts w:ascii="宋体" w:hAnsi="宋体" w:cs="宋体"/>
                <w:lang w:val="zh-CN"/>
              </w:rPr>
              <w:t>1</w:t>
            </w:r>
          </w:p>
        </w:tc>
        <w:tc>
          <w:tcPr>
            <w:tcW w:w="1704" w:type="dxa"/>
            <w:noWrap w:val="0"/>
            <w:vAlign w:val="center"/>
          </w:tcPr>
          <w:p>
            <w:pPr>
              <w:jc w:val="left"/>
            </w:pPr>
            <w:r>
              <w:rPr>
                <w:rFonts w:hint="eastAsia"/>
              </w:rPr>
              <w:t>事务所行业经验</w:t>
            </w:r>
          </w:p>
        </w:tc>
        <w:tc>
          <w:tcPr>
            <w:tcW w:w="717" w:type="dxa"/>
            <w:noWrap w:val="0"/>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noWrap w:val="0"/>
            <w:vAlign w:val="center"/>
          </w:tcPr>
          <w:p>
            <w:pPr>
              <w:jc w:val="left"/>
              <w:rPr>
                <w:color w:val="000000"/>
              </w:rPr>
            </w:pPr>
            <w:r>
              <w:rPr>
                <w:rFonts w:hint="eastAsia"/>
                <w:color w:val="000000"/>
              </w:rPr>
              <w:t>近三年（20</w:t>
            </w:r>
            <w:r>
              <w:rPr>
                <w:rFonts w:hint="eastAsia"/>
                <w:color w:val="000000"/>
                <w:lang w:val="en-US" w:eastAsia="zh-CN"/>
              </w:rPr>
              <w:t>18</w:t>
            </w:r>
            <w:r>
              <w:rPr>
                <w:rFonts w:hint="eastAsia"/>
                <w:color w:val="000000"/>
              </w:rPr>
              <w:t>年1月1日至投标截止日，以合同签订时间为准）具备</w:t>
            </w:r>
            <w:r>
              <w:rPr>
                <w:color w:val="000000"/>
              </w:rPr>
              <w:t>以下</w:t>
            </w:r>
            <w:r>
              <w:rPr>
                <w:rFonts w:hint="eastAsia"/>
                <w:color w:val="000000"/>
              </w:rPr>
              <w:t>经验的</w:t>
            </w:r>
            <w:r>
              <w:rPr>
                <w:color w:val="000000"/>
              </w:rPr>
              <w:t>：</w:t>
            </w:r>
          </w:p>
          <w:p>
            <w:pPr>
              <w:pStyle w:val="4"/>
              <w:numPr>
                <w:ilvl w:val="0"/>
                <w:numId w:val="1"/>
              </w:numPr>
              <w:ind w:left="0" w:firstLine="0" w:firstLineChars="0"/>
              <w:jc w:val="left"/>
              <w:rPr>
                <w:color w:val="000000"/>
              </w:rPr>
            </w:pPr>
            <w:r>
              <w:rPr>
                <w:rFonts w:hint="eastAsia"/>
                <w:color w:val="000000"/>
              </w:rPr>
              <w:t>具备</w:t>
            </w:r>
            <w:r>
              <w:rPr>
                <w:rFonts w:hint="eastAsia"/>
                <w:color w:val="000000"/>
                <w:lang w:eastAsia="zh-CN"/>
              </w:rPr>
              <w:t>行政事业单位或社会组织</w:t>
            </w:r>
            <w:r>
              <w:rPr>
                <w:rFonts w:hint="eastAsia"/>
                <w:color w:val="000000"/>
              </w:rPr>
              <w:t>审计项目经验的，每个得</w:t>
            </w:r>
            <w:r>
              <w:rPr>
                <w:color w:val="000000"/>
              </w:rPr>
              <w:t>1</w:t>
            </w:r>
            <w:r>
              <w:rPr>
                <w:rFonts w:hint="eastAsia"/>
                <w:color w:val="000000"/>
              </w:rPr>
              <w:t>分</w:t>
            </w:r>
            <w:r>
              <w:rPr>
                <w:color w:val="000000"/>
              </w:rPr>
              <w:t>，</w:t>
            </w:r>
            <w:r>
              <w:rPr>
                <w:rFonts w:hint="eastAsia"/>
                <w:color w:val="000000"/>
              </w:rPr>
              <w:t>此项累计不超过</w:t>
            </w:r>
            <w:r>
              <w:rPr>
                <w:rFonts w:hint="eastAsia"/>
                <w:color w:val="000000"/>
                <w:lang w:val="en-US" w:eastAsia="zh-CN"/>
              </w:rPr>
              <w:t>4</w:t>
            </w:r>
            <w:r>
              <w:rPr>
                <w:rFonts w:hint="eastAsia"/>
                <w:color w:val="000000"/>
              </w:rPr>
              <w:t>分；</w:t>
            </w:r>
          </w:p>
          <w:p>
            <w:pPr>
              <w:pStyle w:val="4"/>
              <w:numPr>
                <w:ilvl w:val="0"/>
                <w:numId w:val="1"/>
              </w:numPr>
              <w:ind w:left="0" w:firstLine="0" w:firstLineChars="0"/>
              <w:jc w:val="left"/>
              <w:rPr>
                <w:color w:val="000000"/>
              </w:rPr>
            </w:pPr>
            <w:r>
              <w:rPr>
                <w:rFonts w:hint="eastAsia"/>
                <w:color w:val="000000"/>
              </w:rPr>
              <w:t>审计</w:t>
            </w:r>
            <w:r>
              <w:rPr>
                <w:rFonts w:hint="eastAsia"/>
                <w:color w:val="000000"/>
                <w:lang w:eastAsia="zh-CN"/>
              </w:rPr>
              <w:t>项目</w:t>
            </w:r>
            <w:r>
              <w:rPr>
                <w:rFonts w:hint="eastAsia"/>
                <w:color w:val="000000"/>
              </w:rPr>
              <w:t>为行政事业单位</w:t>
            </w:r>
            <w:r>
              <w:rPr>
                <w:rFonts w:hint="eastAsia"/>
                <w:color w:val="000000"/>
                <w:lang w:eastAsia="zh-CN"/>
              </w:rPr>
              <w:t>或社会组织经济责任审计</w:t>
            </w:r>
            <w:r>
              <w:rPr>
                <w:rFonts w:hint="eastAsia"/>
                <w:color w:val="000000"/>
              </w:rPr>
              <w:t>的</w:t>
            </w:r>
            <w:r>
              <w:rPr>
                <w:color w:val="000000"/>
              </w:rPr>
              <w:t>，</w:t>
            </w:r>
            <w:r>
              <w:rPr>
                <w:rFonts w:hint="eastAsia"/>
                <w:color w:val="000000"/>
              </w:rPr>
              <w:t>每个得</w:t>
            </w:r>
            <w:r>
              <w:rPr>
                <w:color w:val="000000"/>
              </w:rPr>
              <w:t>2</w:t>
            </w:r>
            <w:r>
              <w:rPr>
                <w:rFonts w:hint="eastAsia"/>
                <w:color w:val="000000"/>
              </w:rPr>
              <w:t>分</w:t>
            </w:r>
            <w:r>
              <w:rPr>
                <w:color w:val="000000"/>
              </w:rPr>
              <w:t>，</w:t>
            </w:r>
            <w:r>
              <w:rPr>
                <w:rFonts w:hint="eastAsia"/>
                <w:color w:val="000000"/>
              </w:rPr>
              <w:t>此项累计不超过</w:t>
            </w:r>
            <w:r>
              <w:rPr>
                <w:rFonts w:hint="eastAsia"/>
                <w:color w:val="000000"/>
                <w:lang w:val="en-US" w:eastAsia="zh-CN"/>
              </w:rPr>
              <w:t>6</w:t>
            </w:r>
            <w:r>
              <w:rPr>
                <w:rFonts w:hint="eastAsia"/>
                <w:color w:val="000000"/>
              </w:rPr>
              <w:t>分；</w:t>
            </w:r>
          </w:p>
          <w:p>
            <w:pPr>
              <w:jc w:val="left"/>
              <w:rPr>
                <w:color w:val="000000"/>
              </w:rPr>
            </w:pPr>
            <w:r>
              <w:rPr>
                <w:rFonts w:hint="eastAsia"/>
                <w:color w:val="000000"/>
              </w:rPr>
              <w:t>以上累加计分，满分为</w:t>
            </w:r>
            <w:r>
              <w:rPr>
                <w:rFonts w:hint="eastAsia"/>
                <w:color w:val="000000"/>
                <w:lang w:val="en-US" w:eastAsia="zh-CN"/>
              </w:rPr>
              <w:t>10</w:t>
            </w:r>
            <w:r>
              <w:rPr>
                <w:rFonts w:hint="eastAsia"/>
                <w:color w:val="000000"/>
              </w:rPr>
              <w:t>分。</w:t>
            </w:r>
          </w:p>
          <w:p>
            <w:pPr>
              <w:snapToGrid w:val="0"/>
              <w:jc w:val="left"/>
              <w:rPr>
                <w:color w:val="000000"/>
              </w:rPr>
            </w:pPr>
            <w:r>
              <w:rPr>
                <w:rFonts w:hint="eastAsia"/>
                <w:color w:val="000000"/>
              </w:rPr>
              <w:t>要求提供合同关键信息（通过合同关键信息无法判断是否得分的，也可以提供能证明得分的其他证明资料，如合同甲方出具的证明文件等）作为得分依据。投标人在提供证明资料时要特别注意，证明资料中必须要体现相关资料是否能满足得分条件，以便判断得分情况。</w:t>
            </w:r>
          </w:p>
        </w:tc>
        <w:tc>
          <w:tcPr>
            <w:tcW w:w="1130" w:type="dxa"/>
            <w:noWrap w:val="0"/>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noWrap w:val="0"/>
            <w:vAlign w:val="center"/>
          </w:tcPr>
          <w:p>
            <w:pPr>
              <w:autoSpaceDE w:val="0"/>
              <w:autoSpaceDN w:val="0"/>
              <w:adjustRightInd w:val="0"/>
              <w:jc w:val="left"/>
              <w:rPr>
                <w:rFonts w:ascii="宋体" w:hAnsi="宋体"/>
                <w:lang w:val="zh-CN"/>
              </w:rPr>
            </w:pPr>
            <w:r>
              <w:rPr>
                <w:rFonts w:ascii="宋体" w:hAnsi="宋体" w:cs="宋体"/>
              </w:rPr>
              <w:t>2</w:t>
            </w:r>
          </w:p>
        </w:tc>
        <w:tc>
          <w:tcPr>
            <w:tcW w:w="1704" w:type="dxa"/>
            <w:noWrap w:val="0"/>
            <w:vAlign w:val="center"/>
          </w:tcPr>
          <w:p>
            <w:pPr>
              <w:jc w:val="left"/>
            </w:pPr>
            <w:r>
              <w:rPr>
                <w:rFonts w:hint="eastAsia"/>
                <w:bCs/>
              </w:rPr>
              <w:t>行业评价水平</w:t>
            </w:r>
          </w:p>
        </w:tc>
        <w:tc>
          <w:tcPr>
            <w:tcW w:w="717" w:type="dxa"/>
            <w:noWrap w:val="0"/>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noWrap w:val="0"/>
            <w:vAlign w:val="center"/>
          </w:tcPr>
          <w:p>
            <w:pPr>
              <w:jc w:val="left"/>
            </w:pPr>
            <w:r>
              <w:rPr>
                <w:rFonts w:hint="eastAsia"/>
                <w:lang w:val="en-US" w:eastAsia="zh-CN"/>
              </w:rPr>
              <w:t>2020年</w:t>
            </w:r>
            <w:r>
              <w:rPr>
                <w:rFonts w:hint="eastAsia"/>
              </w:rPr>
              <w:t>中国注册会计师协会发布的会计师事务所综合评价或业务收入信息排名中，排名前</w:t>
            </w:r>
            <w:r>
              <w:rPr>
                <w:rFonts w:hint="eastAsia"/>
                <w:lang w:val="en-US" w:eastAsia="zh-CN"/>
              </w:rPr>
              <w:t>60</w:t>
            </w:r>
            <w:r>
              <w:rPr>
                <w:rFonts w:hint="eastAsia"/>
              </w:rPr>
              <w:t>的，得</w:t>
            </w:r>
            <w:r>
              <w:rPr>
                <w:rFonts w:hint="eastAsia"/>
                <w:lang w:val="en-US" w:eastAsia="zh-CN"/>
              </w:rPr>
              <w:t>10</w:t>
            </w:r>
            <w:r>
              <w:rPr>
                <w:rFonts w:hint="eastAsia"/>
              </w:rPr>
              <w:t>分；排名前</w:t>
            </w:r>
            <w:r>
              <w:rPr>
                <w:rFonts w:hint="eastAsia"/>
                <w:lang w:val="en-US" w:eastAsia="zh-CN"/>
              </w:rPr>
              <w:t>100</w:t>
            </w:r>
            <w:r>
              <w:rPr>
                <w:rFonts w:hint="eastAsia"/>
              </w:rPr>
              <w:t>的，得</w:t>
            </w:r>
            <w:r>
              <w:rPr>
                <w:rFonts w:hint="eastAsia"/>
                <w:lang w:val="en-US" w:eastAsia="zh-CN"/>
              </w:rPr>
              <w:t>8</w:t>
            </w:r>
            <w:r>
              <w:rPr>
                <w:rFonts w:hint="eastAsia"/>
              </w:rPr>
              <w:t>分；未入围，为</w:t>
            </w:r>
            <w:r>
              <w:rPr>
                <w:rFonts w:hint="eastAsia"/>
                <w:lang w:val="en-US" w:eastAsia="zh-CN"/>
              </w:rPr>
              <w:t>5</w:t>
            </w:r>
            <w:r>
              <w:rPr>
                <w:rFonts w:hint="eastAsia"/>
              </w:rPr>
              <w:t>分。</w:t>
            </w:r>
          </w:p>
          <w:p>
            <w:pPr>
              <w:snapToGrid w:val="0"/>
              <w:jc w:val="left"/>
            </w:pPr>
            <w:r>
              <w:rPr>
                <w:rFonts w:hint="eastAsia"/>
              </w:rPr>
              <w:t>要求提供相关证明文件复印件或扫描件加盖公章，原件备查。</w:t>
            </w:r>
          </w:p>
        </w:tc>
        <w:tc>
          <w:tcPr>
            <w:tcW w:w="1130" w:type="dxa"/>
            <w:noWrap w:val="0"/>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noWrap w:val="0"/>
            <w:vAlign w:val="center"/>
          </w:tcPr>
          <w:p>
            <w:pPr>
              <w:autoSpaceDE w:val="0"/>
              <w:autoSpaceDN w:val="0"/>
              <w:adjustRightInd w:val="0"/>
              <w:jc w:val="left"/>
              <w:rPr>
                <w:rFonts w:hint="eastAsia" w:ascii="宋体" w:hAnsi="宋体" w:eastAsia="宋体" w:cs="Times New Roman"/>
                <w:kern w:val="2"/>
                <w:sz w:val="21"/>
                <w:szCs w:val="21"/>
                <w:lang w:val="en-US" w:eastAsia="zh-CN" w:bidi="ar-SA"/>
              </w:rPr>
            </w:pPr>
            <w:r>
              <w:rPr>
                <w:rFonts w:hint="eastAsia" w:ascii="宋体" w:hAnsi="宋体" w:cs="宋体"/>
                <w:lang w:val="en-US" w:eastAsia="zh-CN"/>
              </w:rPr>
              <w:t>3</w:t>
            </w:r>
          </w:p>
        </w:tc>
        <w:tc>
          <w:tcPr>
            <w:tcW w:w="1704"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rPr>
              <w:t>拟安排项目团队情况</w:t>
            </w:r>
          </w:p>
        </w:tc>
        <w:tc>
          <w:tcPr>
            <w:tcW w:w="717" w:type="dxa"/>
            <w:noWrap w:val="0"/>
            <w:vAlign w:val="center"/>
          </w:tcPr>
          <w:p>
            <w:pPr>
              <w:snapToGrid w:val="0"/>
              <w:jc w:val="left"/>
              <w:rPr>
                <w:rFonts w:hint="eastAsia" w:ascii="Times New Roman" w:hAnsi="Times New Roman" w:eastAsia="宋体" w:cs="Times New Roman"/>
                <w:bCs/>
                <w:kern w:val="44"/>
                <w:sz w:val="21"/>
                <w:szCs w:val="21"/>
                <w:lang w:val="en-US" w:eastAsia="zh-CN" w:bidi="ar-SA"/>
              </w:rPr>
            </w:pPr>
            <w:r>
              <w:rPr>
                <w:rFonts w:hint="eastAsia"/>
                <w:bCs/>
                <w:kern w:val="44"/>
                <w:lang w:val="en-US" w:eastAsia="zh-CN"/>
              </w:rPr>
              <w:t>10</w:t>
            </w:r>
          </w:p>
        </w:tc>
        <w:tc>
          <w:tcPr>
            <w:tcW w:w="5103" w:type="dxa"/>
            <w:noWrap w:val="0"/>
            <w:vAlign w:val="center"/>
          </w:tcPr>
          <w:p>
            <w:pPr>
              <w:jc w:val="left"/>
            </w:pPr>
            <w:r>
              <w:rPr>
                <w:rFonts w:hint="eastAsia"/>
              </w:rPr>
              <w:t>为本项目配备的项目成员（不含负责人）能力和经验：</w:t>
            </w:r>
          </w:p>
          <w:p>
            <w:pPr>
              <w:jc w:val="left"/>
              <w:rPr>
                <w:rFonts w:hint="default" w:eastAsia="宋体"/>
                <w:lang w:val="en-US" w:eastAsia="zh-CN"/>
              </w:rPr>
            </w:pPr>
            <w:r>
              <w:rPr>
                <w:rFonts w:hint="eastAsia"/>
              </w:rPr>
              <w:t>1）团队成员不少于</w:t>
            </w:r>
            <w:r>
              <w:rPr>
                <w:rFonts w:hint="eastAsia"/>
                <w:lang w:val="en-US" w:eastAsia="zh-CN"/>
              </w:rPr>
              <w:t>6</w:t>
            </w:r>
            <w:r>
              <w:rPr>
                <w:rFonts w:hint="eastAsia"/>
              </w:rPr>
              <w:t>人，其中3人或以上审计经验不少于5年的，得</w:t>
            </w:r>
            <w:r>
              <w:rPr>
                <w:rFonts w:hint="eastAsia"/>
                <w:lang w:val="en-US" w:eastAsia="zh-CN"/>
              </w:rPr>
              <w:t>4</w:t>
            </w:r>
            <w:r>
              <w:rPr>
                <w:rFonts w:hint="eastAsia"/>
              </w:rPr>
              <w:t>分</w:t>
            </w:r>
            <w:r>
              <w:rPr>
                <w:rFonts w:hint="eastAsia"/>
                <w:lang w:eastAsia="zh-CN"/>
              </w:rPr>
              <w:t>；</w:t>
            </w:r>
            <w:r>
              <w:rPr>
                <w:rFonts w:hint="eastAsia"/>
                <w:lang w:val="en-US" w:eastAsia="zh-CN"/>
              </w:rPr>
              <w:t>2人审计经验不少于5年的，得2分；1人审计经验不少于5年的，得1分。</w:t>
            </w:r>
          </w:p>
          <w:p>
            <w:pPr>
              <w:jc w:val="left"/>
            </w:pPr>
            <w:r>
              <w:rPr>
                <w:rFonts w:hint="eastAsia"/>
              </w:rPr>
              <w:t>2）团队成员具备注册会计师资格</w:t>
            </w:r>
            <w:r>
              <w:rPr>
                <w:rFonts w:hint="eastAsia"/>
                <w:lang w:val="en-US" w:eastAsia="zh-CN"/>
              </w:rPr>
              <w:t>2</w:t>
            </w:r>
            <w:r>
              <w:rPr>
                <w:rFonts w:hint="eastAsia"/>
              </w:rPr>
              <w:t>人或以上的，得</w:t>
            </w:r>
            <w:r>
              <w:rPr>
                <w:rFonts w:hint="eastAsia"/>
                <w:lang w:val="en-US" w:eastAsia="zh-CN"/>
              </w:rPr>
              <w:t>4</w:t>
            </w:r>
            <w:r>
              <w:rPr>
                <w:rFonts w:hint="eastAsia"/>
              </w:rPr>
              <w:t>分</w:t>
            </w:r>
            <w:r>
              <w:rPr>
                <w:rFonts w:hint="eastAsia"/>
                <w:lang w:eastAsia="zh-CN"/>
              </w:rPr>
              <w:t>；具备注册会计师资格</w:t>
            </w:r>
            <w:r>
              <w:rPr>
                <w:rFonts w:hint="eastAsia"/>
                <w:lang w:val="en-US" w:eastAsia="zh-CN"/>
              </w:rPr>
              <w:t>1人的，得2分</w:t>
            </w:r>
            <w:r>
              <w:rPr>
                <w:rFonts w:hint="eastAsia"/>
              </w:rPr>
              <w:t>；</w:t>
            </w:r>
          </w:p>
          <w:p>
            <w:pPr>
              <w:jc w:val="left"/>
              <w:rPr>
                <w:rFonts w:hint="eastAsia" w:eastAsia="宋体"/>
                <w:lang w:eastAsia="zh-CN"/>
              </w:rPr>
            </w:pPr>
            <w:r>
              <w:rPr>
                <w:rFonts w:hint="eastAsia"/>
              </w:rPr>
              <w:t>3）团队成员具备硕士以上学历</w:t>
            </w:r>
            <w:r>
              <w:rPr>
                <w:rFonts w:hint="eastAsia"/>
                <w:lang w:val="en-US" w:eastAsia="zh-CN"/>
              </w:rPr>
              <w:t>2</w:t>
            </w:r>
            <w:r>
              <w:rPr>
                <w:rFonts w:hint="eastAsia"/>
              </w:rPr>
              <w:t>人或以上的，得2分；团队成员具备硕士以上学历</w:t>
            </w:r>
            <w:r>
              <w:rPr>
                <w:rFonts w:hint="eastAsia"/>
                <w:lang w:val="en-US" w:eastAsia="zh-CN"/>
              </w:rPr>
              <w:t>1</w:t>
            </w:r>
            <w:r>
              <w:rPr>
                <w:rFonts w:hint="eastAsia"/>
              </w:rPr>
              <w:t>人的</w:t>
            </w:r>
            <w:r>
              <w:rPr>
                <w:rFonts w:hint="eastAsia"/>
                <w:lang w:eastAsia="zh-CN"/>
              </w:rPr>
              <w:t>，</w:t>
            </w:r>
            <w:r>
              <w:rPr>
                <w:rFonts w:hint="eastAsia"/>
              </w:rPr>
              <w:t>得</w:t>
            </w:r>
            <w:r>
              <w:rPr>
                <w:rFonts w:hint="eastAsia"/>
                <w:lang w:val="en-US" w:eastAsia="zh-CN"/>
              </w:rPr>
              <w:t>1</w:t>
            </w:r>
            <w:r>
              <w:rPr>
                <w:rFonts w:hint="eastAsia"/>
              </w:rPr>
              <w:t>分；</w:t>
            </w:r>
          </w:p>
          <w:p>
            <w:pPr>
              <w:jc w:val="left"/>
            </w:pPr>
            <w:r>
              <w:rPr>
                <w:rFonts w:hint="eastAsia"/>
              </w:rPr>
              <w:t>以上累加计分，满分为</w:t>
            </w:r>
            <w:r>
              <w:rPr>
                <w:rFonts w:hint="eastAsia"/>
                <w:lang w:val="en-US" w:eastAsia="zh-CN"/>
              </w:rPr>
              <w:t>10</w:t>
            </w:r>
            <w:r>
              <w:rPr>
                <w:rFonts w:hint="eastAsia"/>
              </w:rPr>
              <w:t>分。</w:t>
            </w:r>
          </w:p>
          <w:p>
            <w:pPr>
              <w:snapToGrid w:val="0"/>
              <w:jc w:val="left"/>
            </w:pPr>
            <w:r>
              <w:rPr>
                <w:rFonts w:hint="eastAsia"/>
              </w:rPr>
              <w:t>要求提供所配备成员劳动合同、资历、学位证书扫描件，原件备查，并附团队成员的简历及工作业绩情况书面材料，业绩材料为项目合同或委托单位开具的书面证明。</w:t>
            </w:r>
          </w:p>
          <w:p>
            <w:pPr>
              <w:snapToGrid w:val="0"/>
              <w:jc w:val="left"/>
              <w:rPr>
                <w:rFonts w:hint="eastAsia" w:ascii="Times New Roman" w:hAnsi="Times New Roman" w:eastAsia="宋体" w:cs="Times New Roman"/>
                <w:kern w:val="2"/>
                <w:sz w:val="21"/>
                <w:szCs w:val="21"/>
                <w:lang w:val="en-US" w:eastAsia="zh-CN" w:bidi="ar-SA"/>
              </w:rPr>
            </w:pPr>
            <w:r>
              <w:rPr>
                <w:rFonts w:hint="eastAsia"/>
              </w:rPr>
              <w:t>注：以上证明材料需提供扫描件或复印件加盖投标人公章。</w:t>
            </w:r>
          </w:p>
        </w:tc>
        <w:tc>
          <w:tcPr>
            <w:tcW w:w="1130"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noWrap w:val="0"/>
            <w:vAlign w:val="center"/>
          </w:tcPr>
          <w:p>
            <w:pPr>
              <w:autoSpaceDE w:val="0"/>
              <w:autoSpaceDN w:val="0"/>
              <w:adjustRightInd w:val="0"/>
              <w:jc w:val="left"/>
              <w:rPr>
                <w:rFonts w:hint="eastAsia" w:ascii="宋体" w:hAnsi="宋体" w:eastAsia="宋体"/>
                <w:lang w:eastAsia="zh-CN"/>
              </w:rPr>
            </w:pPr>
            <w:r>
              <w:rPr>
                <w:rFonts w:hint="eastAsia" w:ascii="宋体" w:hAnsi="宋体" w:cs="宋体"/>
                <w:lang w:val="en-US" w:eastAsia="zh-CN"/>
              </w:rPr>
              <w:t>4</w:t>
            </w:r>
          </w:p>
        </w:tc>
        <w:tc>
          <w:tcPr>
            <w:tcW w:w="1704" w:type="dxa"/>
            <w:noWrap w:val="0"/>
            <w:vAlign w:val="center"/>
          </w:tcPr>
          <w:p>
            <w:pPr>
              <w:jc w:val="left"/>
            </w:pPr>
            <w:r>
              <w:rPr>
                <w:rFonts w:hint="eastAsia"/>
              </w:rPr>
              <w:t>团队负责人情况</w:t>
            </w:r>
          </w:p>
        </w:tc>
        <w:tc>
          <w:tcPr>
            <w:tcW w:w="717" w:type="dxa"/>
            <w:noWrap w:val="0"/>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noWrap w:val="0"/>
            <w:vAlign w:val="center"/>
          </w:tcPr>
          <w:p>
            <w:pPr>
              <w:jc w:val="left"/>
            </w:pPr>
            <w:r>
              <w:rPr>
                <w:rFonts w:hint="eastAsia"/>
              </w:rPr>
              <w:t>项目团队负责人（仅限一人）能力和经验：</w:t>
            </w:r>
          </w:p>
          <w:p>
            <w:pPr>
              <w:snapToGrid w:val="0"/>
              <w:jc w:val="left"/>
            </w:pPr>
            <w:r>
              <w:rPr>
                <w:rFonts w:hint="eastAsia"/>
              </w:rPr>
              <w:t>1）本科以上学历，且审计项目经验不少于10年的，得</w:t>
            </w:r>
            <w:r>
              <w:rPr>
                <w:rFonts w:hint="eastAsia"/>
                <w:lang w:val="en-US" w:eastAsia="zh-CN"/>
              </w:rPr>
              <w:t>5</w:t>
            </w:r>
            <w:r>
              <w:rPr>
                <w:rFonts w:hint="eastAsia"/>
              </w:rPr>
              <w:t>分；</w:t>
            </w:r>
          </w:p>
          <w:p>
            <w:pPr>
              <w:jc w:val="left"/>
              <w:rPr>
                <w:rFonts w:hint="eastAsia"/>
                <w:lang w:eastAsia="zh-CN"/>
              </w:rPr>
            </w:pPr>
            <w:r>
              <w:rPr>
                <w:rFonts w:hint="eastAsia"/>
              </w:rPr>
              <w:t>2）承担过</w:t>
            </w:r>
            <w:r>
              <w:rPr>
                <w:rFonts w:hint="eastAsia"/>
                <w:lang w:val="en-US" w:eastAsia="zh-CN"/>
              </w:rPr>
              <w:t>5</w:t>
            </w:r>
            <w:r>
              <w:rPr>
                <w:rFonts w:hint="eastAsia"/>
              </w:rPr>
              <w:t>项</w:t>
            </w:r>
            <w:r>
              <w:rPr>
                <w:rFonts w:hint="eastAsia"/>
                <w:lang w:eastAsia="zh-CN"/>
              </w:rPr>
              <w:t>及</w:t>
            </w:r>
            <w:r>
              <w:rPr>
                <w:rFonts w:hint="eastAsia"/>
              </w:rPr>
              <w:t>以上行政事业单位</w:t>
            </w:r>
            <w:r>
              <w:rPr>
                <w:rFonts w:hint="eastAsia"/>
                <w:lang w:eastAsia="zh-CN"/>
              </w:rPr>
              <w:t>或社会组织</w:t>
            </w:r>
            <w:r>
              <w:rPr>
                <w:rFonts w:hint="eastAsia"/>
              </w:rPr>
              <w:t>同类项目的，得</w:t>
            </w:r>
            <w:r>
              <w:rPr>
                <w:rFonts w:hint="eastAsia"/>
                <w:lang w:val="en-US" w:eastAsia="zh-CN"/>
              </w:rPr>
              <w:t>5</w:t>
            </w:r>
            <w:r>
              <w:rPr>
                <w:rFonts w:hint="eastAsia"/>
              </w:rPr>
              <w:t>分</w:t>
            </w:r>
            <w:r>
              <w:rPr>
                <w:rFonts w:hint="eastAsia"/>
                <w:lang w:eastAsia="zh-CN"/>
              </w:rPr>
              <w:t>；</w:t>
            </w:r>
            <w:r>
              <w:rPr>
                <w:rFonts w:hint="eastAsia"/>
              </w:rPr>
              <w:t>承担过</w:t>
            </w:r>
            <w:r>
              <w:rPr>
                <w:rFonts w:hint="eastAsia"/>
                <w:lang w:val="en-US" w:eastAsia="zh-CN"/>
              </w:rPr>
              <w:t>3</w:t>
            </w:r>
            <w:r>
              <w:rPr>
                <w:rFonts w:hint="eastAsia"/>
              </w:rPr>
              <w:t>项行政事业单位</w:t>
            </w:r>
            <w:r>
              <w:rPr>
                <w:rFonts w:hint="eastAsia"/>
                <w:lang w:eastAsia="zh-CN"/>
              </w:rPr>
              <w:t>或社会组织</w:t>
            </w:r>
            <w:r>
              <w:rPr>
                <w:rFonts w:hint="eastAsia"/>
              </w:rPr>
              <w:t>同类项目的，得</w:t>
            </w:r>
            <w:r>
              <w:rPr>
                <w:rFonts w:hint="eastAsia"/>
                <w:lang w:val="en-US" w:eastAsia="zh-CN"/>
              </w:rPr>
              <w:t>3</w:t>
            </w:r>
            <w:r>
              <w:rPr>
                <w:rFonts w:hint="eastAsia"/>
              </w:rPr>
              <w:t>分</w:t>
            </w:r>
            <w:r>
              <w:rPr>
                <w:rFonts w:hint="eastAsia"/>
                <w:lang w:eastAsia="zh-CN"/>
              </w:rPr>
              <w:t>；</w:t>
            </w:r>
            <w:r>
              <w:rPr>
                <w:rFonts w:hint="eastAsia"/>
              </w:rPr>
              <w:t>承担过</w:t>
            </w:r>
            <w:r>
              <w:rPr>
                <w:rFonts w:hint="eastAsia"/>
                <w:lang w:val="en-US" w:eastAsia="zh-CN"/>
              </w:rPr>
              <w:t>1</w:t>
            </w:r>
            <w:r>
              <w:rPr>
                <w:rFonts w:hint="eastAsia"/>
              </w:rPr>
              <w:t>项行政事业单位</w:t>
            </w:r>
            <w:r>
              <w:rPr>
                <w:rFonts w:hint="eastAsia"/>
                <w:lang w:eastAsia="zh-CN"/>
              </w:rPr>
              <w:t>或社会组织</w:t>
            </w:r>
            <w:r>
              <w:rPr>
                <w:rFonts w:hint="eastAsia"/>
              </w:rPr>
              <w:t>同类项目的，得</w:t>
            </w:r>
            <w:r>
              <w:rPr>
                <w:rFonts w:hint="eastAsia"/>
                <w:lang w:val="en-US" w:eastAsia="zh-CN"/>
              </w:rPr>
              <w:t>1</w:t>
            </w:r>
            <w:r>
              <w:rPr>
                <w:rFonts w:hint="eastAsia"/>
              </w:rPr>
              <w:t>分</w:t>
            </w:r>
            <w:r>
              <w:rPr>
                <w:rFonts w:hint="eastAsia"/>
                <w:lang w:eastAsia="zh-CN"/>
              </w:rPr>
              <w:t>；</w:t>
            </w:r>
          </w:p>
          <w:p>
            <w:pPr>
              <w:jc w:val="left"/>
            </w:pPr>
            <w:r>
              <w:rPr>
                <w:rFonts w:hint="eastAsia"/>
              </w:rPr>
              <w:t>以上累加计分，满分为10分。</w:t>
            </w:r>
          </w:p>
          <w:p>
            <w:pPr>
              <w:snapToGrid w:val="0"/>
              <w:jc w:val="left"/>
              <w:rPr>
                <w:kern w:val="0"/>
              </w:rPr>
            </w:pPr>
            <w:r>
              <w:rPr>
                <w:rFonts w:hint="eastAsia"/>
              </w:rPr>
              <w:t>要求提供劳动合同、简历、工作经验证明材料（业绩材料为项目合同或委托单位开具的书面证明</w:t>
            </w:r>
            <w:r>
              <w:rPr>
                <w:rFonts w:hint="eastAsia"/>
                <w:lang w:eastAsia="zh-CN"/>
              </w:rPr>
              <w:t>，工作证明材料可以为毕业证书</w:t>
            </w:r>
            <w:r>
              <w:rPr>
                <w:rFonts w:hint="eastAsia"/>
              </w:rPr>
              <w:t>）作为得分依据。所有材料要求提供扫描件或</w:t>
            </w:r>
            <w:r>
              <w:t>复印件加盖公章</w:t>
            </w:r>
            <w:r>
              <w:rPr>
                <w:rFonts w:hint="eastAsia"/>
              </w:rPr>
              <w:t>，原件备查。</w:t>
            </w:r>
          </w:p>
        </w:tc>
        <w:tc>
          <w:tcPr>
            <w:tcW w:w="1130" w:type="dxa"/>
            <w:noWrap w:val="0"/>
            <w:vAlign w:val="center"/>
          </w:tcPr>
          <w:p>
            <w:pPr>
              <w:adjustRightInd w:val="0"/>
              <w:snapToGrid w:val="0"/>
              <w:jc w:val="left"/>
              <w:rPr>
                <w:rFonts w:ascii="宋体" w:hAnsi="宋体"/>
              </w:rPr>
            </w:pPr>
            <w:r>
              <w:rPr>
                <w:rFonts w:hint="eastAsia" w:ascii="宋体" w:hAnsi="宋体" w:cs="宋体"/>
              </w:rPr>
              <w:t>专家打分</w:t>
            </w:r>
          </w:p>
        </w:tc>
      </w:tr>
      <w:bookmarkEnd w:id="0"/>
    </w:tbl>
    <w:p/>
    <w:p>
      <w:pPr>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92A3A"/>
    <w:multiLevelType w:val="multilevel"/>
    <w:tmpl w:val="06A92A3A"/>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51A4D"/>
    <w:rsid w:val="0FA5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2022-02-22T10:02:00Z</dcterms:created>
  <dc:creator>信息小组</dc:creator>
  <cp:lastModifiedBy>信息小组</cp:lastModifiedBy>
  <dcterms:modified xsi:type="dcterms:W3CDTF">2022-02-22T10:03:25Z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