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宋体"/>
          <w:sz w:val="28"/>
          <w:szCs w:val="28"/>
        </w:rPr>
      </w:pPr>
      <w:r>
        <w:rPr>
          <w:rFonts w:hint="eastAsia" w:ascii="宋体" w:hAnsi="宋体" w:cs="宋体"/>
          <w:sz w:val="28"/>
          <w:szCs w:val="28"/>
        </w:rPr>
        <w:t>附件2</w:t>
      </w:r>
    </w:p>
    <w:p>
      <w:pPr>
        <w:snapToGrid w:val="0"/>
        <w:spacing w:line="360" w:lineRule="auto"/>
        <w:jc w:val="center"/>
        <w:rPr>
          <w:rFonts w:ascii="方正小标宋简体" w:hAnsi="方正小标宋简体" w:eastAsia="方正小标宋简体" w:cs="方正小标宋简体"/>
          <w:b/>
          <w:kern w:val="0"/>
          <w:sz w:val="44"/>
          <w:szCs w:val="44"/>
          <w:lang w:bidi="ar"/>
        </w:rPr>
      </w:pPr>
      <w:bookmarkStart w:id="0" w:name="_GoBack"/>
      <w:r>
        <w:rPr>
          <w:rFonts w:hint="eastAsia" w:ascii="方正小标宋简体" w:hAnsi="方正小标宋简体" w:eastAsia="方正小标宋简体" w:cs="方正小标宋简体"/>
          <w:b/>
          <w:kern w:val="0"/>
          <w:sz w:val="44"/>
          <w:szCs w:val="44"/>
          <w:lang w:bidi="ar"/>
        </w:rPr>
        <w:t>评分细则</w:t>
      </w:r>
    </w:p>
    <w:bookmarkEnd w:id="0"/>
    <w:p>
      <w:pPr>
        <w:snapToGrid w:val="0"/>
        <w:spacing w:line="360" w:lineRule="auto"/>
        <w:jc w:val="left"/>
        <w:rPr>
          <w:rFonts w:ascii="仿宋_GB2312" w:cs="仿宋_GB2312"/>
          <w:sz w:val="28"/>
          <w:szCs w:val="28"/>
          <w:lang w:bidi="ar"/>
        </w:rPr>
      </w:pPr>
      <w:r>
        <w:rPr>
          <w:rFonts w:hint="eastAsia" w:ascii="仿宋_GB2312" w:cs="仿宋_GB2312"/>
          <w:sz w:val="28"/>
          <w:szCs w:val="28"/>
          <w:lang w:bidi="ar"/>
        </w:rPr>
        <w:t>评标方法为综合评分法。</w:t>
      </w:r>
    </w:p>
    <w:tbl>
      <w:tblPr>
        <w:tblStyle w:val="2"/>
        <w:tblW w:w="962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116"/>
        <w:gridCol w:w="983"/>
        <w:gridCol w:w="808"/>
        <w:gridCol w:w="967"/>
        <w:gridCol w:w="13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序号</w:t>
            </w:r>
          </w:p>
        </w:tc>
        <w:tc>
          <w:tcPr>
            <w:tcW w:w="3874" w:type="dxa"/>
            <w:gridSpan w:val="4"/>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评分项</w:t>
            </w:r>
          </w:p>
        </w:tc>
        <w:tc>
          <w:tcPr>
            <w:tcW w:w="4814" w:type="dxa"/>
            <w:gridSpan w:val="2"/>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一</w:t>
            </w:r>
          </w:p>
        </w:tc>
        <w:tc>
          <w:tcPr>
            <w:tcW w:w="3874" w:type="dxa"/>
            <w:gridSpan w:val="4"/>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价格</w:t>
            </w:r>
          </w:p>
        </w:tc>
        <w:tc>
          <w:tcPr>
            <w:tcW w:w="4814" w:type="dxa"/>
            <w:gridSpan w:val="2"/>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22" w:type="dxa"/>
            <w:gridSpan w:val="7"/>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_GB2312" w:cs="仿宋_GB2312"/>
                <w:sz w:val="22"/>
                <w:szCs w:val="28"/>
              </w:rPr>
            </w:pPr>
            <w:r>
              <w:rPr>
                <w:rFonts w:hint="eastAsia" w:ascii="仿宋_GB2312" w:cs="仿宋_GB2312"/>
                <w:sz w:val="22"/>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二</w:t>
            </w:r>
          </w:p>
        </w:tc>
        <w:tc>
          <w:tcPr>
            <w:tcW w:w="4011" w:type="dxa"/>
            <w:gridSpan w:val="5"/>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技术部分</w:t>
            </w:r>
          </w:p>
        </w:tc>
        <w:tc>
          <w:tcPr>
            <w:tcW w:w="4677"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Merge w:val="restart"/>
            <w:tcBorders>
              <w:top w:val="nil"/>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序号</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评分因素</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权重</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评分方式</w:t>
            </w:r>
          </w:p>
        </w:tc>
        <w:tc>
          <w:tcPr>
            <w:tcW w:w="4677"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934" w:type="dxa"/>
            <w:vMerge w:val="continue"/>
            <w:tcBorders>
              <w:top w:val="nil"/>
              <w:left w:val="single" w:color="auto" w:sz="4" w:space="0"/>
              <w:bottom w:val="single" w:color="auto" w:sz="4" w:space="0"/>
              <w:right w:val="single" w:color="auto" w:sz="4" w:space="0"/>
            </w:tcBorders>
            <w:noWrap/>
            <w:vAlign w:val="center"/>
          </w:tcPr>
          <w:p>
            <w:pPr>
              <w:rPr>
                <w:rFonts w:cs="Calibri"/>
                <w:sz w:val="22"/>
                <w:szCs w:val="20"/>
              </w:rPr>
            </w:pPr>
          </w:p>
        </w:tc>
        <w:tc>
          <w:tcPr>
            <w:tcW w:w="1116" w:type="dxa"/>
            <w:tcBorders>
              <w:top w:val="single" w:color="auto" w:sz="4" w:space="0"/>
              <w:left w:val="nil"/>
              <w:bottom w:val="single" w:color="auto" w:sz="4" w:space="0"/>
              <w:right w:val="single" w:color="auto" w:sz="4" w:space="0"/>
            </w:tcBorders>
            <w:noWrap/>
            <w:vAlign w:val="center"/>
          </w:tcPr>
          <w:p>
            <w:pPr>
              <w:snapToGrid w:val="0"/>
              <w:rPr>
                <w:rFonts w:ascii="仿宋_GB2312" w:cs="仿宋_GB2312"/>
                <w:sz w:val="22"/>
                <w:szCs w:val="28"/>
              </w:rPr>
            </w:pPr>
            <w:r>
              <w:rPr>
                <w:rFonts w:hint="eastAsia" w:ascii="仿宋_GB2312" w:cs="仿宋_GB2312"/>
                <w:sz w:val="22"/>
                <w:szCs w:val="28"/>
                <w:lang w:bidi="ar"/>
              </w:rPr>
              <w:t>（一）</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项目实施方案</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12</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rPr>
                <w:rFonts w:ascii="仿宋_GB2312" w:cs="仿宋_GB2312"/>
                <w:sz w:val="22"/>
                <w:szCs w:val="28"/>
                <w:lang w:bidi="ar"/>
              </w:rPr>
            </w:pPr>
            <w:r>
              <w:rPr>
                <w:rFonts w:hint="eastAsia" w:ascii="仿宋_GB2312" w:cs="仿宋_GB2312"/>
                <w:sz w:val="22"/>
                <w:szCs w:val="28"/>
                <w:lang w:bidi="ar"/>
              </w:rPr>
              <w:t>具有完整详细的实施方案，包括服务目标、服务措施、重点及具体服务内容等；提供服务计划，具有科学性和操作性、具有符合项目需求的措施、方法、手段及流程。</w:t>
            </w:r>
          </w:p>
          <w:p>
            <w:pPr>
              <w:snapToGrid w:val="0"/>
              <w:rPr>
                <w:rFonts w:ascii="仿宋_GB2312" w:cs="仿宋_GB2312"/>
                <w:sz w:val="22"/>
                <w:szCs w:val="28"/>
              </w:rPr>
            </w:pPr>
            <w:r>
              <w:rPr>
                <w:rFonts w:hint="eastAsia" w:ascii="仿宋_GB2312" w:cs="仿宋_GB2312"/>
                <w:sz w:val="22"/>
                <w:szCs w:val="28"/>
                <w:lang w:bidi="ar"/>
              </w:rPr>
              <w:t>按照投标文件响应情况进行评审，非常好的且符合要求的评价为优，得12分；比较好评价为良，得8分；一般的评价为中，得6分，不符合要求的评价为差，不得分。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934" w:type="dxa"/>
            <w:vMerge w:val="continue"/>
            <w:tcBorders>
              <w:top w:val="nil"/>
              <w:left w:val="single" w:color="auto" w:sz="4" w:space="0"/>
              <w:bottom w:val="single" w:color="auto" w:sz="4" w:space="0"/>
              <w:right w:val="single" w:color="auto" w:sz="4" w:space="0"/>
            </w:tcBorders>
            <w:noWrap/>
            <w:vAlign w:val="center"/>
          </w:tcPr>
          <w:p>
            <w:pPr>
              <w:rPr>
                <w:rFonts w:cs="Calibri"/>
                <w:sz w:val="22"/>
                <w:szCs w:val="20"/>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（二）</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项目重点难点分析、应对措施及相关的合理化建议</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12</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rPr>
                <w:rFonts w:ascii="仿宋_GB2312" w:cs="仿宋_GB2312"/>
                <w:sz w:val="22"/>
                <w:szCs w:val="28"/>
                <w:lang w:bidi="ar"/>
              </w:rPr>
            </w:pPr>
            <w:r>
              <w:rPr>
                <w:rFonts w:hint="eastAsia" w:ascii="仿宋_GB2312" w:cs="仿宋_GB2312"/>
                <w:sz w:val="22"/>
                <w:szCs w:val="28"/>
                <w:lang w:bidi="ar"/>
              </w:rPr>
              <w:t>对项目实施重点与难点进行分析，分析到位、合理、深入，且对重点难点有明确的应对措施。</w:t>
            </w:r>
          </w:p>
          <w:p>
            <w:pPr>
              <w:snapToGrid w:val="0"/>
              <w:rPr>
                <w:rFonts w:ascii="仿宋_GB2312" w:cs="仿宋_GB2312"/>
                <w:sz w:val="22"/>
                <w:szCs w:val="28"/>
                <w:lang w:bidi="ar"/>
              </w:rPr>
            </w:pPr>
            <w:r>
              <w:rPr>
                <w:rFonts w:hint="eastAsia" w:ascii="仿宋_GB2312" w:cs="仿宋_GB2312"/>
                <w:sz w:val="22"/>
                <w:szCs w:val="28"/>
                <w:lang w:bidi="ar"/>
              </w:rPr>
              <w:t>按照投标文件响应情况进行评审，非常好的且符合要求的评价为优，得12分，比较好评价为良，得8分，一般的评价为中，得6分，不符合要求的评价为差，不得分。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934" w:type="dxa"/>
            <w:vMerge w:val="continue"/>
            <w:tcBorders>
              <w:top w:val="nil"/>
              <w:left w:val="single" w:color="auto" w:sz="4" w:space="0"/>
              <w:bottom w:val="single" w:color="auto" w:sz="4" w:space="0"/>
              <w:right w:val="single" w:color="auto" w:sz="4" w:space="0"/>
            </w:tcBorders>
            <w:noWrap/>
            <w:vAlign w:val="center"/>
          </w:tcPr>
          <w:p>
            <w:pPr>
              <w:rPr>
                <w:rFonts w:cs="Calibri"/>
                <w:sz w:val="22"/>
                <w:szCs w:val="20"/>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（三）</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项目管理制度</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5</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rPr>
                <w:rFonts w:ascii="仿宋_GB2312" w:cs="仿宋_GB2312"/>
                <w:sz w:val="22"/>
                <w:szCs w:val="28"/>
              </w:rPr>
            </w:pPr>
            <w:r>
              <w:rPr>
                <w:rFonts w:hint="eastAsia" w:ascii="仿宋_GB2312" w:cs="仿宋_GB2312"/>
                <w:sz w:val="22"/>
                <w:szCs w:val="28"/>
                <w:lang w:bidi="ar"/>
              </w:rPr>
              <w:t>具有确保项目良好运作的相关管理制度。按照投标文件响应情况进行评审，非常好的且符合要求的评价为优，得5分；比较好评价为良，得4分；一般的评价为中，得3分；不符合要求的评价为差，不得分。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934" w:type="dxa"/>
            <w:vMerge w:val="continue"/>
            <w:tcBorders>
              <w:top w:val="nil"/>
              <w:left w:val="single" w:color="auto" w:sz="4" w:space="0"/>
              <w:bottom w:val="single" w:color="auto" w:sz="4" w:space="0"/>
              <w:right w:val="single" w:color="auto" w:sz="4" w:space="0"/>
            </w:tcBorders>
            <w:noWrap/>
            <w:vAlign w:val="center"/>
          </w:tcPr>
          <w:p>
            <w:pPr>
              <w:rPr>
                <w:rFonts w:cs="Calibri"/>
                <w:sz w:val="22"/>
                <w:szCs w:val="20"/>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（四）</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项目经费计划使用合理性</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5</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rPr>
                <w:rFonts w:ascii="仿宋_GB2312" w:cs="仿宋_GB2312"/>
                <w:sz w:val="22"/>
                <w:szCs w:val="28"/>
                <w:lang w:bidi="ar"/>
              </w:rPr>
            </w:pPr>
            <w:r>
              <w:rPr>
                <w:rFonts w:hint="eastAsia" w:ascii="仿宋_GB2312" w:cs="仿宋_GB2312"/>
                <w:sz w:val="22"/>
                <w:szCs w:val="28"/>
                <w:lang w:bidi="ar"/>
              </w:rPr>
              <w:t>具有详细的资金使用计划，对项目中各项可能之处考虑全面细致，经费使用比例参照相应规定，按照投标文件响应情况进行评审，</w:t>
            </w:r>
          </w:p>
          <w:p>
            <w:pPr>
              <w:snapToGrid w:val="0"/>
              <w:rPr>
                <w:rFonts w:ascii="仿宋_GB2312" w:cs="仿宋_GB2312"/>
                <w:sz w:val="22"/>
                <w:szCs w:val="28"/>
              </w:rPr>
            </w:pPr>
            <w:r>
              <w:rPr>
                <w:rFonts w:hint="eastAsia" w:ascii="仿宋_GB2312" w:cs="仿宋_GB2312"/>
                <w:sz w:val="22"/>
                <w:szCs w:val="28"/>
                <w:lang w:bidi="ar"/>
              </w:rPr>
              <w:t>分档评分：非常好的且符合要求的评价为优，得5分；比较好评价为良，得4分；一般的评价为中，得3分；不符合要求的评价为差，不得分。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trPr>
        <w:tc>
          <w:tcPr>
            <w:tcW w:w="934" w:type="dxa"/>
            <w:vMerge w:val="continue"/>
            <w:tcBorders>
              <w:top w:val="nil"/>
              <w:left w:val="single" w:color="auto" w:sz="4" w:space="0"/>
              <w:bottom w:val="single" w:color="auto" w:sz="4" w:space="0"/>
              <w:right w:val="single" w:color="auto" w:sz="4" w:space="0"/>
            </w:tcBorders>
            <w:noWrap/>
            <w:vAlign w:val="center"/>
          </w:tcPr>
          <w:p>
            <w:pPr>
              <w:rPr>
                <w:rFonts w:cs="Calibri"/>
                <w:sz w:val="22"/>
                <w:szCs w:val="20"/>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（五）</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项目完成后的服务承诺</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6</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rPr>
                <w:rFonts w:ascii="仿宋_GB2312" w:cs="仿宋_GB2312"/>
                <w:sz w:val="22"/>
                <w:szCs w:val="28"/>
                <w:lang w:bidi="ar"/>
              </w:rPr>
            </w:pPr>
            <w:r>
              <w:rPr>
                <w:rFonts w:hint="eastAsia" w:ascii="仿宋_GB2312" w:cs="仿宋_GB2312"/>
                <w:sz w:val="22"/>
                <w:szCs w:val="28"/>
                <w:lang w:bidi="ar"/>
              </w:rPr>
              <w:t>投标单位必须保证按照约定完成项目任务，提供项目的服务承诺，根据招标文件的需求和投标文件响应情况进行评审，非常好的且符合要求的评价为优，得6分，比较好评价为良，得4分，一般的评价为中，得3分，不符合要求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三</w:t>
            </w:r>
          </w:p>
        </w:tc>
        <w:tc>
          <w:tcPr>
            <w:tcW w:w="4011" w:type="dxa"/>
            <w:gridSpan w:val="5"/>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综合实力部分</w:t>
            </w:r>
          </w:p>
        </w:tc>
        <w:tc>
          <w:tcPr>
            <w:tcW w:w="4677"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序号</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评分因素</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权重</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评分</w:t>
            </w:r>
          </w:p>
          <w:p>
            <w:pPr>
              <w:snapToGrid w:val="0"/>
              <w:jc w:val="center"/>
              <w:rPr>
                <w:rFonts w:ascii="仿宋_GB2312" w:cs="仿宋_GB2312"/>
                <w:sz w:val="22"/>
                <w:szCs w:val="28"/>
              </w:rPr>
            </w:pPr>
            <w:r>
              <w:rPr>
                <w:rFonts w:hint="eastAsia" w:ascii="仿宋_GB2312" w:cs="仿宋_GB2312"/>
                <w:sz w:val="22"/>
                <w:szCs w:val="28"/>
                <w:lang w:bidi="ar"/>
              </w:rPr>
              <w:t>方式</w:t>
            </w:r>
          </w:p>
        </w:tc>
        <w:tc>
          <w:tcPr>
            <w:tcW w:w="4677"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（一）</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拟安排的项目负责人情况</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10</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jc w:val="left"/>
              <w:rPr>
                <w:rFonts w:ascii="仿宋_GB2312" w:cs="仿宋_GB2312"/>
                <w:sz w:val="22"/>
                <w:szCs w:val="28"/>
              </w:rPr>
            </w:pPr>
            <w:r>
              <w:rPr>
                <w:rFonts w:hint="eastAsia" w:ascii="仿宋_GB2312" w:cs="仿宋_GB2312"/>
                <w:b/>
                <w:sz w:val="22"/>
                <w:szCs w:val="28"/>
                <w:lang w:bidi="ar"/>
              </w:rPr>
              <w:t>评分内容：</w:t>
            </w:r>
            <w:r>
              <w:rPr>
                <w:rFonts w:hint="eastAsia" w:ascii="仿宋_GB2312" w:cs="仿宋_GB2312"/>
                <w:sz w:val="22"/>
                <w:szCs w:val="28"/>
                <w:lang w:bidi="ar"/>
              </w:rPr>
              <w:t>投标人项目负责人具有政务服务事项优化相关服务经验的得10分，未从事过相关工作的不得分。</w:t>
            </w:r>
          </w:p>
          <w:p>
            <w:pPr>
              <w:snapToGrid w:val="0"/>
              <w:jc w:val="left"/>
              <w:rPr>
                <w:rFonts w:ascii="仿宋_GB2312" w:cs="仿宋_GB2312"/>
                <w:sz w:val="22"/>
                <w:szCs w:val="28"/>
                <w:lang w:bidi="ar"/>
              </w:rPr>
            </w:pPr>
            <w:r>
              <w:rPr>
                <w:rFonts w:hint="eastAsia" w:ascii="仿宋_GB2312" w:cs="仿宋_GB2312"/>
                <w:b/>
                <w:sz w:val="22"/>
                <w:szCs w:val="28"/>
                <w:lang w:bidi="ar"/>
              </w:rPr>
              <w:t>评分依据</w:t>
            </w:r>
            <w:r>
              <w:rPr>
                <w:rFonts w:hint="eastAsia" w:ascii="仿宋_GB2312" w:cs="仿宋_GB2312"/>
                <w:sz w:val="22"/>
                <w:szCs w:val="28"/>
                <w:lang w:bidi="ar"/>
              </w:rPr>
              <w:t>：</w:t>
            </w:r>
          </w:p>
          <w:p>
            <w:pPr>
              <w:snapToGrid w:val="0"/>
              <w:jc w:val="left"/>
              <w:rPr>
                <w:rFonts w:ascii="仿宋_GB2312" w:cs="仿宋_GB2312"/>
                <w:sz w:val="22"/>
                <w:szCs w:val="28"/>
                <w:lang w:bidi="ar"/>
              </w:rPr>
            </w:pPr>
            <w:r>
              <w:rPr>
                <w:rFonts w:hint="eastAsia" w:ascii="仿宋_GB2312" w:cs="仿宋_GB2312"/>
                <w:sz w:val="22"/>
                <w:szCs w:val="28"/>
                <w:lang w:bidi="ar"/>
              </w:rPr>
              <w:t>1.要求投标人须出具投标截止日前三个月（2021年11月-2022年1月）的社保证明、服务经验等相关证明资料作为得分依据。</w:t>
            </w:r>
          </w:p>
          <w:p>
            <w:pPr>
              <w:snapToGrid w:val="0"/>
              <w:jc w:val="left"/>
              <w:rPr>
                <w:rFonts w:ascii="仿宋_GB2312" w:cs="仿宋_GB2312"/>
                <w:sz w:val="22"/>
                <w:szCs w:val="28"/>
                <w:lang w:bidi="ar"/>
              </w:rPr>
            </w:pPr>
            <w:r>
              <w:rPr>
                <w:rFonts w:hint="eastAsia" w:ascii="仿宋_GB2312" w:cs="仿宋_GB2312"/>
                <w:sz w:val="22"/>
                <w:szCs w:val="28"/>
                <w:lang w:bidi="ar"/>
              </w:rPr>
              <w:t>2.以上资料均要求提供扫描件或复印件（或官方网站截图）加盖投标人公章，原件备查。评分中出现无证明资料或专家无法凭所提供资料判断是否得分的情况，一律作不得分处理。</w:t>
            </w:r>
          </w:p>
          <w:p>
            <w:pPr>
              <w:snapToGrid w:val="0"/>
              <w:jc w:val="left"/>
              <w:rPr>
                <w:rFonts w:ascii="仿宋_GB2312" w:cs="仿宋_GB2312"/>
                <w:sz w:val="22"/>
                <w:szCs w:val="28"/>
                <w:lang w:bidi="ar"/>
              </w:rPr>
            </w:pPr>
            <w:r>
              <w:rPr>
                <w:rFonts w:hint="eastAsia" w:ascii="仿宋_GB2312" w:cs="仿宋_GB2312"/>
                <w:sz w:val="22"/>
                <w:szCs w:val="28"/>
                <w:lang w:bidi="ar"/>
              </w:rPr>
              <w:t>3.关于人员工作经验证明材料，要求提供项目合同关键信息作为得分依据，通过合同关键信息无法判断是否得分的，还须同时提供合同甲方出具的证明文件。</w:t>
            </w:r>
          </w:p>
          <w:p>
            <w:pPr>
              <w:snapToGrid w:val="0"/>
              <w:jc w:val="left"/>
              <w:rPr>
                <w:rFonts w:ascii="仿宋_GB2312" w:cs="仿宋_GB2312"/>
                <w:sz w:val="22"/>
                <w:szCs w:val="28"/>
                <w:lang w:bidi="ar"/>
              </w:rPr>
            </w:pPr>
            <w:r>
              <w:rPr>
                <w:rFonts w:hint="eastAsia" w:ascii="仿宋_GB2312" w:cs="仿宋_GB2312"/>
                <w:sz w:val="22"/>
                <w:szCs w:val="28"/>
                <w:lang w:bidi="ar"/>
              </w:rPr>
              <w:t>4.投标人提供的证书已到期的，在办理续期期间的，可提供办证部门或相关网站提供的已通过或已受理的证明文件，视同在有效期范围内。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34" w:type="dxa"/>
            <w:tcBorders>
              <w:top w:val="nil"/>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（二）</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拟安排的项目团队成员情况</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10</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center"/>
          </w:tcPr>
          <w:p>
            <w:pPr>
              <w:snapToGrid w:val="0"/>
              <w:jc w:val="left"/>
              <w:rPr>
                <w:rFonts w:ascii="仿宋_GB2312" w:cs="仿宋_GB2312"/>
                <w:sz w:val="22"/>
                <w:szCs w:val="28"/>
              </w:rPr>
            </w:pPr>
            <w:r>
              <w:rPr>
                <w:rFonts w:hint="eastAsia" w:ascii="仿宋_GB2312" w:cs="仿宋_GB2312"/>
                <w:b/>
                <w:sz w:val="22"/>
                <w:szCs w:val="28"/>
                <w:lang w:bidi="ar"/>
              </w:rPr>
              <w:t>评分内容：</w:t>
            </w:r>
            <w:r>
              <w:rPr>
                <w:rFonts w:hint="eastAsia" w:ascii="仿宋_GB2312" w:cs="仿宋_GB2312"/>
                <w:sz w:val="22"/>
                <w:szCs w:val="28"/>
                <w:lang w:bidi="ar"/>
              </w:rPr>
              <w:t>投标单位项目团队成员（提供不少于3人）具有从事政务服务事项相关工作或机关事业单位窗口服务工作相关经验。投标人团队成员80%以上具有相关经验的得10分，团队成员</w:t>
            </w:r>
            <w:r>
              <w:rPr>
                <w:rFonts w:hint="eastAsia" w:ascii="仿宋_GB2312" w:hAnsi="仿宋_GB2312" w:cs="仿宋_GB2312"/>
                <w:sz w:val="22"/>
                <w:szCs w:val="28"/>
                <w:lang w:bidi="ar"/>
              </w:rPr>
              <w:t>6</w:t>
            </w:r>
            <w:r>
              <w:rPr>
                <w:rFonts w:hint="eastAsia" w:ascii="仿宋_GB2312" w:cs="仿宋_GB2312"/>
                <w:sz w:val="22"/>
                <w:szCs w:val="28"/>
                <w:lang w:bidi="ar"/>
              </w:rPr>
              <w:t>0%-80%具有相关经验的得6分，</w:t>
            </w:r>
            <w:r>
              <w:rPr>
                <w:rFonts w:hint="eastAsia" w:ascii="仿宋_GB2312" w:hAnsi="仿宋_GB2312" w:cs="仿宋_GB2312"/>
                <w:sz w:val="22"/>
                <w:szCs w:val="28"/>
                <w:lang w:bidi="ar"/>
              </w:rPr>
              <w:t>6</w:t>
            </w:r>
            <w:r>
              <w:rPr>
                <w:rFonts w:hint="eastAsia" w:ascii="仿宋_GB2312" w:cs="仿宋_GB2312"/>
                <w:sz w:val="22"/>
                <w:szCs w:val="28"/>
                <w:lang w:bidi="ar"/>
              </w:rPr>
              <w:t>0%以下得4分，其他情况不得分。</w:t>
            </w:r>
          </w:p>
          <w:p>
            <w:pPr>
              <w:snapToGrid w:val="0"/>
              <w:jc w:val="left"/>
              <w:rPr>
                <w:rFonts w:ascii="仿宋_GB2312" w:cs="仿宋_GB2312"/>
                <w:b/>
                <w:sz w:val="22"/>
                <w:szCs w:val="28"/>
                <w:lang w:bidi="ar"/>
              </w:rPr>
            </w:pPr>
            <w:r>
              <w:rPr>
                <w:rFonts w:hint="eastAsia" w:ascii="仿宋_GB2312" w:cs="仿宋_GB2312"/>
                <w:b/>
                <w:sz w:val="22"/>
                <w:szCs w:val="28"/>
                <w:lang w:bidi="ar"/>
              </w:rPr>
              <w:t>评分依据：</w:t>
            </w:r>
          </w:p>
          <w:p>
            <w:pPr>
              <w:snapToGrid w:val="0"/>
              <w:jc w:val="left"/>
              <w:rPr>
                <w:rFonts w:ascii="仿宋_GB2312" w:cs="仿宋_GB2312"/>
                <w:sz w:val="22"/>
                <w:szCs w:val="28"/>
                <w:lang w:bidi="ar"/>
              </w:rPr>
            </w:pPr>
            <w:r>
              <w:rPr>
                <w:rFonts w:hint="eastAsia" w:ascii="仿宋_GB2312" w:cs="仿宋_GB2312"/>
                <w:sz w:val="22"/>
                <w:szCs w:val="28"/>
                <w:lang w:bidi="ar"/>
              </w:rPr>
              <w:t>1.要求投标人须出具投标截止日前三个月（2021年11月-2022年1月）的社保购买证明、相关经验等相关证明资料作为得分依据。</w:t>
            </w:r>
          </w:p>
          <w:p>
            <w:pPr>
              <w:snapToGrid w:val="0"/>
              <w:jc w:val="left"/>
              <w:rPr>
                <w:rFonts w:ascii="仿宋_GB2312" w:cs="仿宋_GB2312"/>
                <w:sz w:val="22"/>
                <w:szCs w:val="28"/>
                <w:lang w:bidi="ar"/>
              </w:rPr>
            </w:pPr>
            <w:r>
              <w:rPr>
                <w:rFonts w:hint="eastAsia" w:ascii="仿宋_GB2312" w:cs="仿宋_GB2312"/>
                <w:sz w:val="22"/>
                <w:szCs w:val="28"/>
                <w:lang w:bidi="ar"/>
              </w:rPr>
              <w:t>2.以上资料均要求提供扫描件或复印件（或官方网站截图）加盖投标人公章，原件备查。评分中出现无证明资料或专家无法凭所提供资料判断是否得分的情况，一律作不得分处理。</w:t>
            </w:r>
          </w:p>
          <w:p>
            <w:pPr>
              <w:snapToGrid w:val="0"/>
              <w:jc w:val="left"/>
              <w:rPr>
                <w:rFonts w:ascii="仿宋_GB2312" w:cs="仿宋_GB2312"/>
                <w:sz w:val="22"/>
                <w:szCs w:val="28"/>
                <w:lang w:bidi="ar"/>
              </w:rPr>
            </w:pPr>
            <w:r>
              <w:rPr>
                <w:rFonts w:hint="eastAsia" w:ascii="仿宋_GB2312" w:cs="仿宋_GB2312"/>
                <w:sz w:val="22"/>
                <w:szCs w:val="28"/>
                <w:lang w:bidi="ar"/>
              </w:rPr>
              <w:t>3.涉及人员工作经验，要求提供项目合同关键信息作为得分依据，通过合同关键信息无法判断是否得分的，还须同时提供合同甲方出具的证明文件。</w:t>
            </w:r>
          </w:p>
          <w:p>
            <w:pPr>
              <w:snapToGrid w:val="0"/>
              <w:jc w:val="left"/>
              <w:rPr>
                <w:rFonts w:ascii="仿宋_GB2312" w:cs="仿宋_GB2312"/>
                <w:sz w:val="22"/>
                <w:szCs w:val="28"/>
              </w:rPr>
            </w:pPr>
            <w:r>
              <w:rPr>
                <w:rFonts w:hint="eastAsia" w:ascii="仿宋_GB2312" w:cs="仿宋_GB2312"/>
                <w:sz w:val="22"/>
                <w:szCs w:val="28"/>
                <w:lang w:bidi="ar"/>
              </w:rPr>
              <w:t>4.投标人提供的证书已到期的，在办理续期期间的，可提供办证部门或相关网站提供的已通过或已受理的证明文件，视同在有效期范围内。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（三）</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同类服务经验</w:t>
            </w:r>
          </w:p>
          <w:p>
            <w:pPr>
              <w:snapToGrid w:val="0"/>
              <w:jc w:val="center"/>
              <w:rPr>
                <w:rFonts w:ascii="仿宋_GB2312" w:cs="仿宋_GB2312"/>
                <w:sz w:val="22"/>
                <w:szCs w:val="28"/>
              </w:rPr>
            </w:pP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15</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top"/>
          </w:tcPr>
          <w:p>
            <w:pPr>
              <w:snapToGrid w:val="0"/>
              <w:jc w:val="left"/>
              <w:rPr>
                <w:rFonts w:ascii="仿宋_GB2312" w:cs="仿宋_GB2312"/>
                <w:sz w:val="22"/>
                <w:szCs w:val="28"/>
                <w:lang w:bidi="ar"/>
              </w:rPr>
            </w:pPr>
            <w:r>
              <w:rPr>
                <w:rFonts w:hint="eastAsia" w:ascii="仿宋_GB2312" w:cs="仿宋_GB2312"/>
                <w:sz w:val="22"/>
                <w:szCs w:val="28"/>
                <w:lang w:bidi="ar"/>
              </w:rPr>
              <w:t>投标单位近三年具有承接政务服务项目相关服务经验的，每项得5分，最高不超过15分；无相关服务经验的不得分。</w:t>
            </w:r>
          </w:p>
          <w:p>
            <w:pPr>
              <w:snapToGrid w:val="0"/>
              <w:jc w:val="left"/>
              <w:rPr>
                <w:rFonts w:ascii="仿宋_GB2312" w:cs="仿宋_GB2312"/>
                <w:sz w:val="22"/>
                <w:szCs w:val="28"/>
                <w:lang w:bidi="ar"/>
              </w:rPr>
            </w:pPr>
            <w:r>
              <w:rPr>
                <w:rFonts w:hint="eastAsia" w:ascii="仿宋_GB2312" w:cs="仿宋_GB2312"/>
                <w:sz w:val="22"/>
                <w:szCs w:val="28"/>
                <w:lang w:bidi="ar"/>
              </w:rPr>
              <w:t>评分依据：</w:t>
            </w:r>
          </w:p>
          <w:p>
            <w:pPr>
              <w:snapToGrid w:val="0"/>
              <w:jc w:val="left"/>
              <w:rPr>
                <w:rFonts w:ascii="仿宋_GB2312" w:cs="仿宋_GB2312"/>
                <w:sz w:val="22"/>
                <w:szCs w:val="28"/>
                <w:lang w:bidi="ar"/>
              </w:rPr>
            </w:pPr>
            <w:r>
              <w:rPr>
                <w:rFonts w:hint="eastAsia" w:ascii="仿宋_GB2312" w:cs="仿宋_GB2312"/>
                <w:sz w:val="22"/>
                <w:szCs w:val="28"/>
                <w:lang w:bidi="ar"/>
              </w:rPr>
              <w:t>1.要求同时提供合同关键信息和项目履约（验收）合格评价证明文件作为得分依据，项目履约（验收）合格评价证明文件需加盖合同甲方公章（或甲方业务章）。</w:t>
            </w:r>
          </w:p>
          <w:p>
            <w:pPr>
              <w:snapToGrid w:val="0"/>
              <w:jc w:val="left"/>
              <w:rPr>
                <w:rFonts w:ascii="仿宋_GB2312" w:cs="仿宋_GB2312"/>
                <w:sz w:val="22"/>
                <w:szCs w:val="28"/>
                <w:lang w:bidi="ar"/>
              </w:rPr>
            </w:pPr>
            <w:r>
              <w:rPr>
                <w:rFonts w:hint="eastAsia" w:ascii="仿宋_GB2312" w:cs="仿宋_GB2312"/>
                <w:sz w:val="22"/>
                <w:szCs w:val="28"/>
                <w:lang w:bidi="ar"/>
              </w:rPr>
              <w:t>2.通过合同关键信息无法判断是否得分的，还须同时提供能证明得分的其它证明资料，如项目报告或合同甲方出具的证明文件等。</w:t>
            </w:r>
          </w:p>
          <w:p>
            <w:pPr>
              <w:snapToGrid w:val="0"/>
              <w:jc w:val="left"/>
              <w:rPr>
                <w:sz w:val="22"/>
              </w:rPr>
            </w:pPr>
            <w:r>
              <w:rPr>
                <w:rFonts w:hint="eastAsia" w:ascii="仿宋_GB2312" w:cs="仿宋_GB2312"/>
                <w:sz w:val="22"/>
                <w:szCs w:val="28"/>
                <w:lang w:bidi="ar"/>
              </w:rPr>
              <w:t>3.以上资料均要求提供扫描件或复印件，加盖投标人公章，原件备查。评分中出现无证明资料或专家无法凭所提供资料判断是否得分的情况，一律作不得分处理。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四</w:t>
            </w:r>
          </w:p>
        </w:tc>
        <w:tc>
          <w:tcPr>
            <w:tcW w:w="4011" w:type="dxa"/>
            <w:gridSpan w:val="5"/>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b/>
                <w:sz w:val="22"/>
                <w:szCs w:val="28"/>
              </w:rPr>
            </w:pPr>
            <w:r>
              <w:rPr>
                <w:rFonts w:hint="eastAsia" w:ascii="仿宋_GB2312" w:cs="仿宋_GB2312"/>
                <w:b/>
                <w:sz w:val="22"/>
                <w:szCs w:val="28"/>
                <w:lang w:bidi="ar"/>
              </w:rPr>
              <w:t>诚信情况</w:t>
            </w:r>
          </w:p>
        </w:tc>
        <w:tc>
          <w:tcPr>
            <w:tcW w:w="4677" w:type="dxa"/>
            <w:tcBorders>
              <w:top w:val="single" w:color="auto" w:sz="4" w:space="0"/>
              <w:left w:val="nil"/>
              <w:bottom w:val="single" w:color="auto" w:sz="4" w:space="0"/>
              <w:right w:val="single" w:color="auto" w:sz="4" w:space="0"/>
            </w:tcBorders>
            <w:noWrap/>
            <w:vAlign w:val="top"/>
          </w:tcPr>
          <w:p>
            <w:pPr>
              <w:snapToGrid w:val="0"/>
              <w:jc w:val="center"/>
              <w:rPr>
                <w:rFonts w:ascii="仿宋_GB2312" w:cs="仿宋_GB2312"/>
                <w:b/>
                <w:sz w:val="22"/>
                <w:szCs w:val="28"/>
              </w:rPr>
            </w:pPr>
            <w:r>
              <w:rPr>
                <w:rFonts w:hint="eastAsia" w:ascii="仿宋_GB2312" w:cs="仿宋_GB2312"/>
                <w:b/>
                <w:sz w:val="22"/>
                <w:szCs w:val="2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_GB2312" w:cs="仿宋_GB2312"/>
                <w:sz w:val="22"/>
                <w:szCs w:val="28"/>
              </w:rPr>
            </w:pPr>
          </w:p>
        </w:tc>
        <w:tc>
          <w:tcPr>
            <w:tcW w:w="1116"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（一）</w:t>
            </w:r>
          </w:p>
        </w:tc>
        <w:tc>
          <w:tcPr>
            <w:tcW w:w="983"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诚信评价</w:t>
            </w:r>
          </w:p>
        </w:tc>
        <w:tc>
          <w:tcPr>
            <w:tcW w:w="808" w:type="dxa"/>
            <w:tcBorders>
              <w:top w:val="single" w:color="auto" w:sz="4" w:space="0"/>
              <w:left w:val="nil"/>
              <w:bottom w:val="single" w:color="auto" w:sz="4" w:space="0"/>
              <w:right w:val="single" w:color="auto" w:sz="4" w:space="0"/>
            </w:tcBorders>
            <w:noWrap/>
            <w:vAlign w:val="center"/>
          </w:tcPr>
          <w:p>
            <w:pPr>
              <w:snapToGrid w:val="0"/>
              <w:jc w:val="center"/>
              <w:rPr>
                <w:rFonts w:ascii="仿宋_GB2312" w:cs="仿宋_GB2312"/>
                <w:sz w:val="22"/>
                <w:szCs w:val="28"/>
              </w:rPr>
            </w:pPr>
            <w:r>
              <w:rPr>
                <w:rFonts w:hint="eastAsia" w:ascii="仿宋_GB2312" w:cs="仿宋_GB2312"/>
                <w:sz w:val="22"/>
                <w:szCs w:val="28"/>
                <w:lang w:bidi="ar"/>
              </w:rPr>
              <w:t>5</w:t>
            </w:r>
          </w:p>
        </w:tc>
        <w:tc>
          <w:tcPr>
            <w:tcW w:w="1104" w:type="dxa"/>
            <w:gridSpan w:val="2"/>
            <w:tcBorders>
              <w:top w:val="single" w:color="auto" w:sz="4" w:space="0"/>
              <w:left w:val="nil"/>
              <w:bottom w:val="single" w:color="auto" w:sz="4" w:space="0"/>
              <w:right w:val="single" w:color="auto" w:sz="4" w:space="0"/>
            </w:tcBorders>
            <w:noWrap/>
            <w:vAlign w:val="center"/>
          </w:tcPr>
          <w:p>
            <w:pPr>
              <w:snapToGrid w:val="0"/>
              <w:jc w:val="center"/>
              <w:rPr>
                <w:rFonts w:hint="eastAsia" w:ascii="仿宋_GB2312" w:cs="仿宋_GB2312"/>
                <w:sz w:val="22"/>
                <w:szCs w:val="28"/>
                <w:lang w:bidi="ar"/>
              </w:rPr>
            </w:pPr>
            <w:r>
              <w:rPr>
                <w:rFonts w:hint="eastAsia" w:ascii="仿宋_GB2312" w:cs="仿宋_GB2312"/>
                <w:sz w:val="22"/>
                <w:szCs w:val="28"/>
                <w:lang w:bidi="ar"/>
              </w:rPr>
              <w:t>专家</w:t>
            </w:r>
          </w:p>
          <w:p>
            <w:pPr>
              <w:snapToGrid w:val="0"/>
              <w:jc w:val="center"/>
              <w:rPr>
                <w:rFonts w:ascii="仿宋_GB2312" w:cs="仿宋_GB2312"/>
                <w:sz w:val="22"/>
                <w:szCs w:val="28"/>
              </w:rPr>
            </w:pPr>
            <w:r>
              <w:rPr>
                <w:rFonts w:hint="eastAsia" w:ascii="仿宋_GB2312" w:cs="仿宋_GB2312"/>
                <w:sz w:val="22"/>
                <w:szCs w:val="28"/>
                <w:lang w:bidi="ar"/>
              </w:rPr>
              <w:t>打分</w:t>
            </w:r>
          </w:p>
        </w:tc>
        <w:tc>
          <w:tcPr>
            <w:tcW w:w="4677" w:type="dxa"/>
            <w:tcBorders>
              <w:top w:val="single" w:color="auto" w:sz="4" w:space="0"/>
              <w:left w:val="nil"/>
              <w:bottom w:val="single" w:color="auto" w:sz="4" w:space="0"/>
              <w:right w:val="single" w:color="auto" w:sz="4" w:space="0"/>
            </w:tcBorders>
            <w:noWrap/>
            <w:vAlign w:val="top"/>
          </w:tcPr>
          <w:p>
            <w:pPr>
              <w:snapToGrid w:val="0"/>
              <w:jc w:val="left"/>
              <w:rPr>
                <w:rFonts w:ascii="仿宋_GB2312" w:cs="仿宋_GB2312"/>
                <w:sz w:val="22"/>
                <w:szCs w:val="28"/>
                <w:lang w:bidi="ar"/>
              </w:rPr>
            </w:pPr>
            <w:r>
              <w:rPr>
                <w:rFonts w:hint="eastAsia" w:ascii="仿宋_GB2312" w:cs="仿宋_GB2312"/>
                <w:sz w:val="22"/>
                <w:szCs w:val="28"/>
                <w:lang w:bidi="ar"/>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cs="仿宋_GB2312"/>
                <w:sz w:val="22"/>
                <w:szCs w:val="28"/>
              </w:rPr>
            </w:pPr>
            <w:r>
              <w:rPr>
                <w:rFonts w:hint="eastAsia" w:ascii="仿宋_GB2312" w:cs="仿宋_GB2312"/>
                <w:sz w:val="22"/>
                <w:szCs w:val="28"/>
                <w:lang w:bidi="ar"/>
              </w:rPr>
              <w:t>证明材料：需提供诚信承诺函，格式自拟，加盖投标人公章。</w:t>
            </w:r>
          </w:p>
        </w:tc>
      </w:tr>
    </w:tbl>
    <w:p>
      <w:pPr>
        <w:adjustRightInd w:val="0"/>
        <w:snapToGrid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36926"/>
    <w:rsid w:val="7453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2022-02-17T04:00:00Z</dcterms:created>
  <dc:creator>信息小组</dc:creator>
  <cp:lastModifiedBy>信息小组</cp:lastModifiedBy>
  <dcterms:modified xsi:type="dcterms:W3CDTF">2022-02-17T04:01:35Z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