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EB1" w:rsidRDefault="00751EB1" w:rsidP="00751EB1">
      <w:pPr>
        <w:widowControl/>
        <w:jc w:val="left"/>
      </w:pPr>
      <w:r>
        <w:rPr>
          <w:rFonts w:hint="eastAsia"/>
          <w:b/>
          <w:bCs/>
        </w:rPr>
        <w:t>附件</w:t>
      </w:r>
      <w:r>
        <w:rPr>
          <w:rFonts w:hint="eastAsia"/>
          <w:b/>
          <w:bCs/>
        </w:rPr>
        <w:t>1</w:t>
      </w:r>
      <w:r>
        <w:rPr>
          <w:rFonts w:hint="eastAsia"/>
          <w:b/>
          <w:bCs/>
        </w:rPr>
        <w:t>：</w:t>
      </w:r>
    </w:p>
    <w:p w:rsidR="00751EB1" w:rsidRDefault="00751EB1" w:rsidP="00751EB1">
      <w:pPr>
        <w:jc w:val="center"/>
        <w:outlineLvl w:val="0"/>
        <w:rPr>
          <w:rStyle w:val="1Char"/>
          <w:rFonts w:hint="eastAsia"/>
          <w:color w:val="000000"/>
          <w:lang w:eastAsia="zh-CN"/>
        </w:rPr>
      </w:pPr>
      <w:bookmarkStart w:id="0" w:name="_GoBack"/>
      <w:r>
        <w:rPr>
          <w:rStyle w:val="1Char"/>
          <w:rFonts w:hint="eastAsia"/>
          <w:color w:val="000000"/>
        </w:rPr>
        <w:t>评分细则表</w:t>
      </w:r>
    </w:p>
    <w:bookmarkEnd w:id="0"/>
    <w:p w:rsidR="00751EB1" w:rsidRDefault="00751EB1" w:rsidP="00751EB1">
      <w:pPr>
        <w:jc w:val="center"/>
        <w:outlineLvl w:val="0"/>
        <w:rPr>
          <w:color w:val="000000"/>
        </w:rPr>
      </w:pP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718"/>
        <w:gridCol w:w="1013"/>
        <w:gridCol w:w="5523"/>
      </w:tblGrid>
      <w:tr w:rsidR="00751EB1" w:rsidTr="00075ED9">
        <w:trPr>
          <w:trHeight w:val="509"/>
          <w:jc w:val="center"/>
        </w:trPr>
        <w:tc>
          <w:tcPr>
            <w:tcW w:w="597" w:type="dxa"/>
            <w:noWrap/>
            <w:vAlign w:val="center"/>
          </w:tcPr>
          <w:p w:rsidR="00751EB1" w:rsidRDefault="00751EB1" w:rsidP="00075ED9">
            <w:pPr>
              <w:tabs>
                <w:tab w:val="left" w:pos="1431"/>
              </w:tabs>
              <w:jc w:val="left"/>
              <w:rPr>
                <w:rFonts w:ascii="宋体" w:eastAsia="宋体" w:hAnsi="宋体" w:cs="宋体"/>
                <w:b/>
                <w:bCs/>
                <w:color w:val="000000"/>
                <w:sz w:val="21"/>
                <w:szCs w:val="21"/>
              </w:rPr>
            </w:pPr>
            <w:r>
              <w:rPr>
                <w:rFonts w:ascii="宋体" w:eastAsia="宋体" w:hAnsi="宋体" w:cs="宋体" w:hint="eastAsia"/>
                <w:b/>
                <w:bCs/>
                <w:color w:val="000000"/>
                <w:sz w:val="21"/>
                <w:szCs w:val="21"/>
              </w:rPr>
              <w:t>序号</w:t>
            </w:r>
          </w:p>
        </w:tc>
        <w:tc>
          <w:tcPr>
            <w:tcW w:w="1718" w:type="dxa"/>
            <w:noWrap/>
            <w:vAlign w:val="center"/>
          </w:tcPr>
          <w:p w:rsidR="00751EB1" w:rsidRDefault="00751EB1" w:rsidP="00075ED9">
            <w:pPr>
              <w:tabs>
                <w:tab w:val="left" w:pos="1431"/>
              </w:tabs>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评审因素</w:t>
            </w:r>
          </w:p>
        </w:tc>
        <w:tc>
          <w:tcPr>
            <w:tcW w:w="1013" w:type="dxa"/>
            <w:noWrap/>
            <w:vAlign w:val="center"/>
          </w:tcPr>
          <w:p w:rsidR="00751EB1" w:rsidRDefault="00751EB1" w:rsidP="00075ED9">
            <w:pPr>
              <w:tabs>
                <w:tab w:val="left" w:pos="1431"/>
              </w:tabs>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权重</w:t>
            </w:r>
          </w:p>
        </w:tc>
        <w:tc>
          <w:tcPr>
            <w:tcW w:w="5523" w:type="dxa"/>
            <w:noWrap/>
            <w:vAlign w:val="center"/>
          </w:tcPr>
          <w:p w:rsidR="00751EB1" w:rsidRDefault="00751EB1" w:rsidP="00075ED9">
            <w:pPr>
              <w:tabs>
                <w:tab w:val="left" w:pos="1431"/>
              </w:tabs>
              <w:jc w:val="center"/>
              <w:rPr>
                <w:rFonts w:ascii="宋体" w:eastAsia="宋体" w:hAnsi="宋体" w:cs="宋体"/>
                <w:b/>
                <w:bCs/>
                <w:color w:val="000000"/>
                <w:sz w:val="21"/>
                <w:szCs w:val="21"/>
              </w:rPr>
            </w:pPr>
            <w:r>
              <w:rPr>
                <w:rFonts w:ascii="宋体" w:eastAsia="宋体" w:hAnsi="宋体" w:cs="宋体" w:hint="eastAsia"/>
                <w:b/>
                <w:bCs/>
                <w:color w:val="000000"/>
                <w:sz w:val="21"/>
                <w:szCs w:val="21"/>
              </w:rPr>
              <w:t>评分标准</w:t>
            </w:r>
          </w:p>
        </w:tc>
      </w:tr>
      <w:tr w:rsidR="00751EB1" w:rsidTr="00075ED9">
        <w:trPr>
          <w:trHeight w:val="509"/>
          <w:jc w:val="center"/>
        </w:trPr>
        <w:tc>
          <w:tcPr>
            <w:tcW w:w="8851" w:type="dxa"/>
            <w:gridSpan w:val="4"/>
            <w:noWrap/>
            <w:vAlign w:val="center"/>
          </w:tcPr>
          <w:p w:rsidR="00751EB1" w:rsidRDefault="00751EB1" w:rsidP="00075ED9">
            <w:pPr>
              <w:tabs>
                <w:tab w:val="left" w:pos="1431"/>
              </w:tabs>
              <w:rPr>
                <w:rFonts w:ascii="宋体" w:eastAsia="宋体" w:hAnsi="宋体" w:cs="宋体" w:hint="eastAsia"/>
                <w:b/>
                <w:bCs/>
                <w:color w:val="000000"/>
                <w:sz w:val="21"/>
                <w:szCs w:val="21"/>
              </w:rPr>
            </w:pPr>
            <w:r>
              <w:rPr>
                <w:rFonts w:ascii="宋体" w:eastAsia="宋体" w:hAnsi="宋体" w:cs="宋体" w:hint="eastAsia"/>
                <w:b/>
                <w:bCs/>
                <w:color w:val="000000"/>
                <w:sz w:val="21"/>
                <w:szCs w:val="21"/>
              </w:rPr>
              <w:t>一、商务部分（55分）</w:t>
            </w:r>
          </w:p>
        </w:tc>
      </w:tr>
      <w:tr w:rsidR="00751EB1" w:rsidTr="00075ED9">
        <w:trPr>
          <w:trHeight w:val="509"/>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718"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企业资质</w:t>
            </w:r>
          </w:p>
        </w:tc>
        <w:tc>
          <w:tcPr>
            <w:tcW w:w="1013" w:type="dxa"/>
            <w:noWrap/>
            <w:vAlign w:val="center"/>
          </w:tcPr>
          <w:p w:rsidR="00751EB1" w:rsidRDefault="00751EB1" w:rsidP="00075ED9">
            <w:pPr>
              <w:tabs>
                <w:tab w:val="left" w:pos="1431"/>
              </w:tabs>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5523"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评审内容：</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在《中国国际招标网》注册或具有国际招标资格证书的招标代理机构得5分。未提供者不得分。</w:t>
            </w:r>
          </w:p>
          <w:p w:rsidR="00751EB1" w:rsidRDefault="00751EB1" w:rsidP="00075ED9">
            <w:pPr>
              <w:rPr>
                <w:rFonts w:ascii="宋体" w:eastAsia="宋体" w:hAnsi="宋体" w:cs="宋体"/>
                <w:color w:val="000000"/>
                <w:sz w:val="21"/>
                <w:szCs w:val="21"/>
              </w:rPr>
            </w:pPr>
            <w:r>
              <w:rPr>
                <w:rFonts w:ascii="宋体" w:eastAsia="宋体" w:hAnsi="宋体" w:cs="宋体" w:hint="eastAsia"/>
                <w:color w:val="000000"/>
                <w:sz w:val="21"/>
                <w:szCs w:val="21"/>
              </w:rPr>
              <w:t>证明材料：</w:t>
            </w:r>
          </w:p>
          <w:p w:rsidR="00751EB1" w:rsidRDefault="00751EB1" w:rsidP="00075ED9">
            <w:pPr>
              <w:rPr>
                <w:rFonts w:ascii="宋体" w:eastAsia="宋体" w:hAnsi="宋体" w:cs="宋体"/>
                <w:color w:val="000000"/>
                <w:sz w:val="21"/>
                <w:szCs w:val="21"/>
              </w:rPr>
            </w:pPr>
            <w:r>
              <w:rPr>
                <w:rFonts w:ascii="宋体" w:eastAsia="宋体" w:hAnsi="宋体" w:cs="宋体" w:hint="eastAsia"/>
                <w:color w:val="000000"/>
                <w:sz w:val="21"/>
                <w:szCs w:val="21"/>
              </w:rPr>
              <w:t>证明材料：提供《中国国际招标网》网站截图或国际招标资格证书扫描件或复印件加盖投标人公章。</w:t>
            </w:r>
          </w:p>
        </w:tc>
      </w:tr>
      <w:tr w:rsidR="00751EB1" w:rsidTr="00075ED9">
        <w:trPr>
          <w:trHeight w:val="509"/>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718"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开评标场地</w:t>
            </w:r>
          </w:p>
        </w:tc>
        <w:tc>
          <w:tcPr>
            <w:tcW w:w="1013" w:type="dxa"/>
            <w:noWrap/>
            <w:vAlign w:val="center"/>
          </w:tcPr>
          <w:p w:rsidR="00751EB1" w:rsidRDefault="00751EB1" w:rsidP="00075ED9">
            <w:pPr>
              <w:tabs>
                <w:tab w:val="left" w:pos="1431"/>
              </w:tabs>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5523"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评审内容：</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在深圳市内开评标房间数量1间得1分，最高不超过10分。未提供者不得分。</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证明材料：</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提供政府采购监管网截图及开评标室照片和证明材料扫描件或复印件加盖投标人公章。</w:t>
            </w:r>
          </w:p>
        </w:tc>
      </w:tr>
      <w:tr w:rsidR="00751EB1" w:rsidTr="00075ED9">
        <w:trPr>
          <w:trHeight w:val="2190"/>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718"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人员配备情况</w:t>
            </w:r>
          </w:p>
        </w:tc>
        <w:tc>
          <w:tcPr>
            <w:tcW w:w="1013" w:type="dxa"/>
            <w:noWrap/>
            <w:vAlign w:val="center"/>
          </w:tcPr>
          <w:p w:rsidR="00751EB1" w:rsidRDefault="00751EB1" w:rsidP="00075ED9">
            <w:pPr>
              <w:tabs>
                <w:tab w:val="left" w:pos="1431"/>
              </w:tabs>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5523"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评审内容：</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深圳市专职人员数量30人或以上的得10分，深圳市专职人员数量15-29人的得5分，深圳市专职人员数量14人或以下的得3分。未提供者不得分。</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证明材料：</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需提供深圳市政府采购监管网截图扫描件或复印件，加盖投标人公章。</w:t>
            </w:r>
          </w:p>
        </w:tc>
      </w:tr>
      <w:tr w:rsidR="00751EB1" w:rsidTr="00075ED9">
        <w:trPr>
          <w:trHeight w:val="2241"/>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4</w:t>
            </w:r>
          </w:p>
        </w:tc>
        <w:tc>
          <w:tcPr>
            <w:tcW w:w="1718"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项目负责人</w:t>
            </w:r>
          </w:p>
        </w:tc>
        <w:tc>
          <w:tcPr>
            <w:tcW w:w="1013" w:type="dxa"/>
            <w:noWrap/>
            <w:vAlign w:val="center"/>
          </w:tcPr>
          <w:p w:rsidR="00751EB1" w:rsidRDefault="00751EB1" w:rsidP="00075ED9">
            <w:pPr>
              <w:tabs>
                <w:tab w:val="left" w:pos="1431"/>
              </w:tabs>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5523"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评审内容:</w:t>
            </w:r>
          </w:p>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1.拟派本项目负责人需具有全日制本科及以上学历，不满足或未提供，此项不得分。</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2.拟派本项目负责人具有相关工作担任项目负责人的经验，每项得1分，最高不超过5分。未提供者不得分。</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证明材料：</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投标人提供学历证书及劳动合同复印件及相关经验的证明材料（如项目合同或甲方单位出具的证明材料）并加盖投标人公章，未按要求提供或提供不清晰导致评委无法判断的不得分。</w:t>
            </w:r>
          </w:p>
        </w:tc>
      </w:tr>
      <w:tr w:rsidR="00751EB1" w:rsidTr="00075ED9">
        <w:trPr>
          <w:trHeight w:val="295"/>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1718" w:type="dxa"/>
            <w:noWrap/>
            <w:vAlign w:val="center"/>
          </w:tcPr>
          <w:p w:rsidR="00751EB1" w:rsidRDefault="00751EB1" w:rsidP="00075ED9">
            <w:pPr>
              <w:autoSpaceDE w:val="0"/>
              <w:autoSpaceDN w:val="0"/>
              <w:jc w:val="left"/>
              <w:rPr>
                <w:rFonts w:ascii="宋体" w:eastAsia="宋体" w:hAnsi="宋体" w:cs="宋体"/>
                <w:color w:val="000000"/>
                <w:sz w:val="21"/>
                <w:szCs w:val="21"/>
                <w:lang w:val="zh-CN"/>
              </w:rPr>
            </w:pPr>
            <w:r>
              <w:rPr>
                <w:rFonts w:ascii="宋体" w:eastAsia="宋体" w:hAnsi="宋体" w:cs="宋体" w:hint="eastAsia"/>
                <w:color w:val="000000"/>
                <w:sz w:val="21"/>
                <w:szCs w:val="21"/>
              </w:rPr>
              <w:t>同类项目业绩情况</w:t>
            </w:r>
          </w:p>
        </w:tc>
        <w:tc>
          <w:tcPr>
            <w:tcW w:w="1013" w:type="dxa"/>
            <w:noWrap/>
            <w:vAlign w:val="center"/>
          </w:tcPr>
          <w:p w:rsidR="00751EB1" w:rsidRDefault="00751EB1" w:rsidP="00075ED9">
            <w:pPr>
              <w:autoSpaceDE w:val="0"/>
              <w:autoSpaceDN w:val="0"/>
              <w:jc w:val="center"/>
              <w:rPr>
                <w:rFonts w:ascii="宋体" w:eastAsia="宋体" w:hAnsi="宋体" w:cs="宋体"/>
                <w:color w:val="000000"/>
                <w:sz w:val="21"/>
                <w:szCs w:val="21"/>
              </w:rPr>
            </w:pPr>
            <w:r>
              <w:rPr>
                <w:rFonts w:ascii="宋体" w:eastAsia="宋体" w:hAnsi="宋体" w:cs="宋体" w:hint="eastAsia"/>
                <w:color w:val="000000"/>
                <w:sz w:val="21"/>
                <w:szCs w:val="21"/>
              </w:rPr>
              <w:t>15</w:t>
            </w:r>
          </w:p>
        </w:tc>
        <w:tc>
          <w:tcPr>
            <w:tcW w:w="5523" w:type="dxa"/>
            <w:noWrap/>
            <w:vAlign w:val="center"/>
          </w:tcPr>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评审内容：</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（一）投标人</w:t>
            </w:r>
            <w:r>
              <w:rPr>
                <w:rFonts w:ascii="宋体" w:eastAsia="宋体" w:hAnsi="宋体" w:cs="宋体" w:hint="eastAsia"/>
                <w:color w:val="000000"/>
                <w:sz w:val="21"/>
                <w:szCs w:val="21"/>
              </w:rPr>
              <w:t>2021年度</w:t>
            </w:r>
            <w:r w:rsidRPr="00350519">
              <w:rPr>
                <w:rFonts w:ascii="宋体" w:eastAsia="宋体" w:hAnsi="宋体" w:cs="宋体" w:hint="eastAsia"/>
                <w:color w:val="000000"/>
                <w:sz w:val="21"/>
                <w:szCs w:val="21"/>
              </w:rPr>
              <w:t>承接深圳市政府采购项目代理服务的客户数量：</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1.签约单位50个以上的，得</w:t>
            </w:r>
            <w:r>
              <w:rPr>
                <w:rFonts w:ascii="宋体" w:eastAsia="宋体" w:hAnsi="宋体" w:cs="宋体" w:hint="eastAsia"/>
                <w:color w:val="000000"/>
                <w:sz w:val="21"/>
                <w:szCs w:val="21"/>
              </w:rPr>
              <w:t>15</w:t>
            </w:r>
            <w:r w:rsidRPr="00350519">
              <w:rPr>
                <w:rFonts w:ascii="宋体" w:eastAsia="宋体" w:hAnsi="宋体" w:cs="宋体" w:hint="eastAsia"/>
                <w:color w:val="000000"/>
                <w:sz w:val="21"/>
                <w:szCs w:val="21"/>
              </w:rPr>
              <w:t>分；</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lastRenderedPageBreak/>
              <w:t>2.签约单位30-50个（含）的，得</w:t>
            </w:r>
            <w:r>
              <w:rPr>
                <w:rFonts w:ascii="宋体" w:eastAsia="宋体" w:hAnsi="宋体" w:cs="宋体" w:hint="eastAsia"/>
                <w:color w:val="000000"/>
                <w:sz w:val="21"/>
                <w:szCs w:val="21"/>
              </w:rPr>
              <w:t>10</w:t>
            </w:r>
            <w:r w:rsidRPr="00350519">
              <w:rPr>
                <w:rFonts w:ascii="宋体" w:eastAsia="宋体" w:hAnsi="宋体" w:cs="宋体" w:hint="eastAsia"/>
                <w:color w:val="000000"/>
                <w:sz w:val="21"/>
                <w:szCs w:val="21"/>
              </w:rPr>
              <w:t>分；</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3.签约单位10-30个（含）的，得</w:t>
            </w:r>
            <w:r>
              <w:rPr>
                <w:rFonts w:ascii="宋体" w:eastAsia="宋体" w:hAnsi="宋体" w:cs="宋体" w:hint="eastAsia"/>
                <w:color w:val="000000"/>
                <w:sz w:val="21"/>
                <w:szCs w:val="21"/>
              </w:rPr>
              <w:t>5</w:t>
            </w:r>
            <w:r w:rsidRPr="00350519">
              <w:rPr>
                <w:rFonts w:ascii="宋体" w:eastAsia="宋体" w:hAnsi="宋体" w:cs="宋体" w:hint="eastAsia"/>
                <w:color w:val="000000"/>
                <w:sz w:val="21"/>
                <w:szCs w:val="21"/>
              </w:rPr>
              <w:t>分；</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4.签约单位1-10个的，得1分；</w:t>
            </w:r>
          </w:p>
          <w:p w:rsidR="00751EB1" w:rsidRPr="00350519" w:rsidRDefault="00751EB1" w:rsidP="00075ED9">
            <w:pPr>
              <w:jc w:val="left"/>
              <w:rPr>
                <w:rFonts w:ascii="宋体" w:eastAsia="宋体" w:hAnsi="宋体" w:cs="宋体" w:hint="eastAsia"/>
                <w:color w:val="000000"/>
                <w:sz w:val="21"/>
                <w:szCs w:val="21"/>
              </w:rPr>
            </w:pPr>
            <w:r w:rsidRPr="00350519">
              <w:rPr>
                <w:rFonts w:ascii="宋体" w:eastAsia="宋体" w:hAnsi="宋体" w:cs="宋体" w:hint="eastAsia"/>
                <w:color w:val="000000"/>
                <w:sz w:val="21"/>
                <w:szCs w:val="21"/>
              </w:rPr>
              <w:t>5.其他不得分。</w:t>
            </w:r>
          </w:p>
          <w:p w:rsidR="00751EB1" w:rsidRDefault="00751EB1" w:rsidP="00075ED9">
            <w:pPr>
              <w:jc w:val="left"/>
              <w:rPr>
                <w:rFonts w:ascii="宋体" w:eastAsia="宋体" w:hAnsi="宋体" w:cs="宋体"/>
                <w:color w:val="000000"/>
                <w:sz w:val="21"/>
                <w:szCs w:val="21"/>
              </w:rPr>
            </w:pPr>
            <w:r w:rsidRPr="00350519">
              <w:rPr>
                <w:rFonts w:ascii="宋体" w:eastAsia="宋体" w:hAnsi="宋体" w:cs="宋体" w:hint="eastAsia"/>
                <w:color w:val="000000"/>
                <w:sz w:val="21"/>
                <w:szCs w:val="21"/>
              </w:rPr>
              <w:t>注：要求提供“深圳市政府采购监管网”的代理机构信息查询截图加盖投标人公章，不提供不得分。</w:t>
            </w:r>
          </w:p>
        </w:tc>
      </w:tr>
      <w:tr w:rsidR="00751EB1" w:rsidTr="00075ED9">
        <w:trPr>
          <w:trHeight w:val="1595"/>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lastRenderedPageBreak/>
              <w:t>6</w:t>
            </w:r>
          </w:p>
        </w:tc>
        <w:tc>
          <w:tcPr>
            <w:tcW w:w="1718"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信息化建设情况（深圳）</w:t>
            </w:r>
          </w:p>
        </w:tc>
        <w:tc>
          <w:tcPr>
            <w:tcW w:w="1013" w:type="dxa"/>
            <w:noWrap/>
            <w:vAlign w:val="center"/>
          </w:tcPr>
          <w:p w:rsidR="00751EB1" w:rsidRDefault="00751EB1" w:rsidP="00075ED9">
            <w:pPr>
              <w:tabs>
                <w:tab w:val="left" w:pos="1431"/>
              </w:tabs>
              <w:jc w:val="center"/>
              <w:rPr>
                <w:rFonts w:ascii="宋体" w:eastAsia="宋体" w:hAnsi="宋体" w:cs="宋体"/>
                <w:color w:val="000000"/>
                <w:sz w:val="21"/>
                <w:szCs w:val="21"/>
              </w:rPr>
            </w:pPr>
            <w:r>
              <w:rPr>
                <w:rFonts w:ascii="宋体" w:eastAsia="宋体" w:hAnsi="宋体" w:cs="宋体" w:hint="eastAsia"/>
                <w:color w:val="000000"/>
                <w:sz w:val="21"/>
                <w:szCs w:val="21"/>
              </w:rPr>
              <w:t>5</w:t>
            </w:r>
          </w:p>
        </w:tc>
        <w:tc>
          <w:tcPr>
            <w:tcW w:w="5523"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评审内容：</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在深具有电子评标系统得5分,没有不得分；</w:t>
            </w:r>
          </w:p>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证明材料：</w:t>
            </w:r>
          </w:p>
          <w:p w:rsidR="00751EB1" w:rsidRDefault="00751EB1" w:rsidP="00075ED9">
            <w:pPr>
              <w:rPr>
                <w:rFonts w:ascii="宋体" w:eastAsia="宋体" w:hAnsi="宋体" w:cs="宋体"/>
                <w:color w:val="000000"/>
                <w:sz w:val="21"/>
                <w:szCs w:val="21"/>
              </w:rPr>
            </w:pPr>
            <w:r>
              <w:rPr>
                <w:rFonts w:ascii="宋体" w:eastAsia="宋体" w:hAnsi="宋体" w:cs="宋体" w:hint="eastAsia"/>
                <w:color w:val="000000"/>
                <w:sz w:val="21"/>
                <w:szCs w:val="21"/>
              </w:rPr>
              <w:t>需提供相关证明材料加盖投标人公章。</w:t>
            </w:r>
          </w:p>
        </w:tc>
      </w:tr>
      <w:tr w:rsidR="00751EB1" w:rsidTr="00075ED9">
        <w:trPr>
          <w:trHeight w:val="1595"/>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7</w:t>
            </w:r>
          </w:p>
        </w:tc>
        <w:tc>
          <w:tcPr>
            <w:tcW w:w="1718"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收费标准</w:t>
            </w:r>
          </w:p>
        </w:tc>
        <w:tc>
          <w:tcPr>
            <w:tcW w:w="1013" w:type="dxa"/>
            <w:noWrap/>
            <w:vAlign w:val="center"/>
          </w:tcPr>
          <w:p w:rsidR="00751EB1" w:rsidRDefault="00751EB1" w:rsidP="00075ED9">
            <w:pPr>
              <w:jc w:val="center"/>
              <w:rPr>
                <w:rFonts w:ascii="宋体" w:eastAsia="宋体" w:hAnsi="宋体" w:cs="宋体"/>
                <w:color w:val="000000"/>
                <w:kern w:val="1"/>
                <w:sz w:val="21"/>
                <w:szCs w:val="21"/>
              </w:rPr>
            </w:pPr>
            <w:r>
              <w:rPr>
                <w:rFonts w:ascii="宋体" w:eastAsia="宋体" w:hAnsi="宋体" w:cs="宋体" w:hint="eastAsia"/>
                <w:color w:val="000000"/>
                <w:kern w:val="1"/>
                <w:sz w:val="21"/>
                <w:szCs w:val="21"/>
              </w:rPr>
              <w:t>5</w:t>
            </w:r>
          </w:p>
        </w:tc>
        <w:tc>
          <w:tcPr>
            <w:tcW w:w="5523" w:type="dxa"/>
            <w:noWrap/>
            <w:vAlign w:val="center"/>
          </w:tcPr>
          <w:p w:rsidR="00751EB1" w:rsidRDefault="00751EB1" w:rsidP="00075ED9">
            <w:pPr>
              <w:jc w:val="left"/>
              <w:rPr>
                <w:rFonts w:ascii="宋体" w:eastAsia="宋体" w:hAnsi="宋体" w:cs="宋体"/>
                <w:color w:val="000000"/>
                <w:sz w:val="21"/>
                <w:szCs w:val="21"/>
              </w:rPr>
            </w:pPr>
            <w:r w:rsidRPr="00E6539E">
              <w:rPr>
                <w:rFonts w:ascii="宋体" w:eastAsia="宋体" w:hAnsi="宋体" w:cs="宋体" w:hint="eastAsia"/>
                <w:color w:val="000000"/>
                <w:sz w:val="21"/>
                <w:szCs w:val="21"/>
              </w:rPr>
              <w:t>根据各投标人拟定的本项目报名收费方案：同一个项目多次招标报名的，对同一报名人只收一次费用得满分，其他不得分。</w:t>
            </w:r>
          </w:p>
        </w:tc>
      </w:tr>
      <w:tr w:rsidR="00751EB1" w:rsidTr="00075ED9">
        <w:trPr>
          <w:trHeight w:val="762"/>
          <w:jc w:val="center"/>
        </w:trPr>
        <w:tc>
          <w:tcPr>
            <w:tcW w:w="8851" w:type="dxa"/>
            <w:gridSpan w:val="4"/>
            <w:noWrap/>
            <w:vAlign w:val="center"/>
          </w:tcPr>
          <w:p w:rsidR="00751EB1" w:rsidRPr="002779E3" w:rsidRDefault="00751EB1" w:rsidP="00075ED9">
            <w:pPr>
              <w:tabs>
                <w:tab w:val="left" w:pos="1431"/>
              </w:tabs>
              <w:jc w:val="left"/>
              <w:rPr>
                <w:rFonts w:ascii="宋体" w:eastAsia="宋体" w:hAnsi="宋体" w:cs="宋体" w:hint="eastAsia"/>
                <w:b/>
                <w:color w:val="000000"/>
                <w:sz w:val="21"/>
                <w:szCs w:val="21"/>
              </w:rPr>
            </w:pPr>
            <w:r w:rsidRPr="002779E3">
              <w:rPr>
                <w:rFonts w:ascii="宋体" w:eastAsia="宋体" w:hAnsi="宋体" w:cs="宋体" w:hint="eastAsia"/>
                <w:b/>
                <w:color w:val="000000"/>
                <w:sz w:val="21"/>
                <w:szCs w:val="21"/>
              </w:rPr>
              <w:t>二、技术部分</w:t>
            </w:r>
            <w:r>
              <w:rPr>
                <w:rFonts w:ascii="宋体" w:eastAsia="宋体" w:hAnsi="宋体" w:cs="宋体" w:hint="eastAsia"/>
                <w:b/>
                <w:color w:val="000000"/>
                <w:sz w:val="21"/>
                <w:szCs w:val="21"/>
              </w:rPr>
              <w:t>（45分）</w:t>
            </w:r>
          </w:p>
        </w:tc>
      </w:tr>
      <w:tr w:rsidR="00751EB1" w:rsidTr="00075ED9">
        <w:trPr>
          <w:trHeight w:val="561"/>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1</w:t>
            </w:r>
          </w:p>
        </w:tc>
        <w:tc>
          <w:tcPr>
            <w:tcW w:w="1718"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项目管理制度</w:t>
            </w:r>
          </w:p>
        </w:tc>
        <w:tc>
          <w:tcPr>
            <w:tcW w:w="1013" w:type="dxa"/>
            <w:noWrap/>
            <w:vAlign w:val="center"/>
          </w:tcPr>
          <w:p w:rsidR="00751EB1" w:rsidRDefault="00751EB1" w:rsidP="00075ED9">
            <w:pPr>
              <w:jc w:val="center"/>
              <w:rPr>
                <w:rFonts w:ascii="宋体" w:eastAsia="宋体" w:hAnsi="宋体" w:cs="宋体"/>
                <w:color w:val="000000"/>
                <w:sz w:val="21"/>
                <w:szCs w:val="21"/>
              </w:rPr>
            </w:pPr>
            <w:r>
              <w:rPr>
                <w:rFonts w:ascii="宋体" w:eastAsia="宋体" w:hAnsi="宋体" w:cs="宋体" w:hint="eastAsia"/>
                <w:color w:val="000000"/>
                <w:sz w:val="21"/>
                <w:szCs w:val="21"/>
              </w:rPr>
              <w:t>10</w:t>
            </w:r>
          </w:p>
        </w:tc>
        <w:tc>
          <w:tcPr>
            <w:tcW w:w="5523"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根据各投标人拟定的项目管理制度：优评分标准：内容合理性强；良评分标准：内容合理性较强；中评分标准：内容合理性一般；差评分标准：内容合理性较差。</w:t>
            </w:r>
          </w:p>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 xml:space="preserve">分档评分：评价为优得10分；评价为良得5分；评价为中得3分；评价为差不得分，未提供或提供不清晰导致评委无法判断的不得分。 </w:t>
            </w:r>
          </w:p>
        </w:tc>
      </w:tr>
      <w:tr w:rsidR="00751EB1" w:rsidTr="00075ED9">
        <w:trPr>
          <w:trHeight w:val="561"/>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2</w:t>
            </w:r>
          </w:p>
        </w:tc>
        <w:tc>
          <w:tcPr>
            <w:tcW w:w="1718"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项目实施方案</w:t>
            </w:r>
          </w:p>
        </w:tc>
        <w:tc>
          <w:tcPr>
            <w:tcW w:w="1013" w:type="dxa"/>
            <w:noWrap/>
            <w:vAlign w:val="center"/>
          </w:tcPr>
          <w:p w:rsidR="00751EB1" w:rsidRDefault="00751EB1" w:rsidP="00075ED9">
            <w:pPr>
              <w:jc w:val="center"/>
              <w:rPr>
                <w:rFonts w:ascii="宋体" w:eastAsia="宋体" w:hAnsi="宋体" w:cs="宋体"/>
                <w:color w:val="000000"/>
                <w:sz w:val="21"/>
                <w:szCs w:val="21"/>
              </w:rPr>
            </w:pPr>
            <w:r>
              <w:rPr>
                <w:rFonts w:ascii="宋体" w:eastAsia="宋体" w:hAnsi="宋体" w:cs="宋体" w:hint="eastAsia"/>
                <w:color w:val="000000"/>
                <w:kern w:val="1"/>
                <w:sz w:val="21"/>
                <w:szCs w:val="21"/>
              </w:rPr>
              <w:t>20</w:t>
            </w:r>
          </w:p>
        </w:tc>
        <w:tc>
          <w:tcPr>
            <w:tcW w:w="5523"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根据各投标人拟定的项目实施方案：优评分标准：内容合理性强； 良评分标准：内容合理性较强； 中评分标准：内容合理性一般； 差评分标准：内容合理性较差。</w:t>
            </w:r>
          </w:p>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分档评分：评价为优得20分；评价为良得15分；评价为中得10分；评价为差不得分，未提供或提供不清晰导致评委无法判断的不得分。</w:t>
            </w:r>
          </w:p>
        </w:tc>
      </w:tr>
      <w:tr w:rsidR="00751EB1" w:rsidTr="00075ED9">
        <w:trPr>
          <w:trHeight w:val="561"/>
          <w:jc w:val="center"/>
        </w:trPr>
        <w:tc>
          <w:tcPr>
            <w:tcW w:w="597" w:type="dxa"/>
            <w:noWrap/>
            <w:vAlign w:val="center"/>
          </w:tcPr>
          <w:p w:rsidR="00751EB1" w:rsidRDefault="00751EB1" w:rsidP="00075ED9">
            <w:pPr>
              <w:tabs>
                <w:tab w:val="left" w:pos="1431"/>
              </w:tabs>
              <w:jc w:val="left"/>
              <w:rPr>
                <w:rFonts w:ascii="宋体" w:eastAsia="宋体" w:hAnsi="宋体" w:cs="宋体"/>
                <w:color w:val="000000"/>
                <w:sz w:val="21"/>
                <w:szCs w:val="21"/>
              </w:rPr>
            </w:pPr>
            <w:r>
              <w:rPr>
                <w:rFonts w:ascii="宋体" w:eastAsia="宋体" w:hAnsi="宋体" w:cs="宋体" w:hint="eastAsia"/>
                <w:color w:val="000000"/>
                <w:sz w:val="21"/>
                <w:szCs w:val="21"/>
              </w:rPr>
              <w:t>3</w:t>
            </w:r>
          </w:p>
        </w:tc>
        <w:tc>
          <w:tcPr>
            <w:tcW w:w="1718"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质疑与投诉处理</w:t>
            </w:r>
          </w:p>
        </w:tc>
        <w:tc>
          <w:tcPr>
            <w:tcW w:w="1013" w:type="dxa"/>
            <w:noWrap/>
            <w:vAlign w:val="center"/>
          </w:tcPr>
          <w:p w:rsidR="00751EB1" w:rsidRDefault="00751EB1" w:rsidP="00075ED9">
            <w:pPr>
              <w:jc w:val="center"/>
              <w:rPr>
                <w:rFonts w:ascii="宋体" w:eastAsia="宋体" w:hAnsi="宋体" w:cs="宋体"/>
                <w:color w:val="000000"/>
                <w:kern w:val="1"/>
                <w:sz w:val="21"/>
                <w:szCs w:val="21"/>
              </w:rPr>
            </w:pPr>
            <w:r>
              <w:rPr>
                <w:rFonts w:ascii="宋体" w:eastAsia="宋体" w:hAnsi="宋体" w:cs="宋体" w:hint="eastAsia"/>
                <w:color w:val="000000"/>
                <w:kern w:val="1"/>
                <w:sz w:val="21"/>
                <w:szCs w:val="21"/>
              </w:rPr>
              <w:t>15</w:t>
            </w:r>
          </w:p>
        </w:tc>
        <w:tc>
          <w:tcPr>
            <w:tcW w:w="5523" w:type="dxa"/>
            <w:noWrap/>
            <w:vAlign w:val="center"/>
          </w:tcPr>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根据各投标人拟定的项目妥善处理代理招标项目。优评分标准：收到的异议、质疑、投诉，处理方案全面、详实，有针对性，操作性强；良评分标准：内容合理性较强；中评分标准：内容合理性一般；差评分标准：内容合理性较差。</w:t>
            </w:r>
          </w:p>
          <w:p w:rsidR="00751EB1" w:rsidRDefault="00751EB1" w:rsidP="00075ED9">
            <w:pPr>
              <w:jc w:val="left"/>
              <w:rPr>
                <w:rFonts w:ascii="宋体" w:eastAsia="宋体" w:hAnsi="宋体" w:cs="宋体"/>
                <w:color w:val="000000"/>
                <w:sz w:val="21"/>
                <w:szCs w:val="21"/>
              </w:rPr>
            </w:pPr>
            <w:r>
              <w:rPr>
                <w:rFonts w:ascii="宋体" w:eastAsia="宋体" w:hAnsi="宋体" w:cs="宋体" w:hint="eastAsia"/>
                <w:color w:val="000000"/>
                <w:sz w:val="21"/>
                <w:szCs w:val="21"/>
              </w:rPr>
              <w:t xml:space="preserve"> 分档评分：评价为优得15分；评价为良得10分；评价为中得5分；评价为差不得分，未提供或提供不清晰导致评委无法判断的不得分。</w:t>
            </w:r>
          </w:p>
        </w:tc>
      </w:tr>
    </w:tbl>
    <w:p w:rsidR="00602184" w:rsidRDefault="00751EB1"/>
    <w:sectPr w:rsidR="00602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B1"/>
    <w:rsid w:val="00751EB1"/>
    <w:rsid w:val="00A649E9"/>
    <w:rsid w:val="00B75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B1"/>
    <w:pPr>
      <w:widowControl w:val="0"/>
      <w:jc w:val="both"/>
    </w:pPr>
    <w:rPr>
      <w:rFonts w:ascii="Times New Roman" w:eastAsia="仿宋_GB2312" w:hAnsi="Times New Roman" w:cs="Times New Roman"/>
      <w:spacing w:val="10"/>
      <w:sz w:val="32"/>
    </w:rPr>
  </w:style>
  <w:style w:type="paragraph" w:styleId="1">
    <w:name w:val="heading 1"/>
    <w:basedOn w:val="a"/>
    <w:next w:val="a"/>
    <w:link w:val="1Char"/>
    <w:qFormat/>
    <w:rsid w:val="00751EB1"/>
    <w:pPr>
      <w:widowControl/>
      <w:shd w:val="clear" w:color="auto" w:fill="FFFFFF"/>
      <w:tabs>
        <w:tab w:val="left" w:pos="426"/>
      </w:tabs>
      <w:adjustRightInd w:val="0"/>
      <w:snapToGrid w:val="0"/>
      <w:spacing w:before="340" w:after="330" w:line="300" w:lineRule="auto"/>
      <w:jc w:val="center"/>
      <w:outlineLvl w:val="0"/>
    </w:pPr>
    <w:rPr>
      <w:rFonts w:ascii="宋体" w:eastAsia="仿宋" w:hAnsi="宋体"/>
      <w:spacing w:val="0"/>
      <w:kern w:val="44"/>
      <w:sz w:val="4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EB1"/>
    <w:rPr>
      <w:rFonts w:ascii="宋体" w:eastAsia="仿宋" w:hAnsi="宋体" w:cs="Times New Roman"/>
      <w:kern w:val="44"/>
      <w:sz w:val="44"/>
      <w:szCs w:val="28"/>
      <w:shd w:val="clear" w:color="auto" w:fill="FFFFFF"/>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EB1"/>
    <w:pPr>
      <w:widowControl w:val="0"/>
      <w:jc w:val="both"/>
    </w:pPr>
    <w:rPr>
      <w:rFonts w:ascii="Times New Roman" w:eastAsia="仿宋_GB2312" w:hAnsi="Times New Roman" w:cs="Times New Roman"/>
      <w:spacing w:val="10"/>
      <w:sz w:val="32"/>
    </w:rPr>
  </w:style>
  <w:style w:type="paragraph" w:styleId="1">
    <w:name w:val="heading 1"/>
    <w:basedOn w:val="a"/>
    <w:next w:val="a"/>
    <w:link w:val="1Char"/>
    <w:qFormat/>
    <w:rsid w:val="00751EB1"/>
    <w:pPr>
      <w:widowControl/>
      <w:shd w:val="clear" w:color="auto" w:fill="FFFFFF"/>
      <w:tabs>
        <w:tab w:val="left" w:pos="426"/>
      </w:tabs>
      <w:adjustRightInd w:val="0"/>
      <w:snapToGrid w:val="0"/>
      <w:spacing w:before="340" w:after="330" w:line="300" w:lineRule="auto"/>
      <w:jc w:val="center"/>
      <w:outlineLvl w:val="0"/>
    </w:pPr>
    <w:rPr>
      <w:rFonts w:ascii="宋体" w:eastAsia="仿宋" w:hAnsi="宋体"/>
      <w:spacing w:val="0"/>
      <w:kern w:val="44"/>
      <w:sz w:val="44"/>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51EB1"/>
    <w:rPr>
      <w:rFonts w:ascii="宋体" w:eastAsia="仿宋" w:hAnsi="宋体" w:cs="Times New Roman"/>
      <w:kern w:val="44"/>
      <w:sz w:val="44"/>
      <w:szCs w:val="28"/>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1180</Characters>
  <Application>Microsoft Office Word</Application>
  <DocSecurity>0</DocSecurity>
  <Lines>9</Lines>
  <Paragraphs>2</Paragraphs>
  <ScaleCrop>false</ScaleCrop>
  <Company>P R C</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2021-12-17T08:04:00Z</dcterms:created>
  <dcterms:modified xsi:type="dcterms:W3CDTF">2021-12-17T08:04:00Z</dcterms:modified>
</cp:coreProperties>
</file>