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r>
        <w:rPr>
          <w:rFonts w:hint="eastAsia" w:ascii="黑体" w:hAnsi="黑体" w:eastAsia="黑体"/>
          <w:sz w:val="32"/>
          <w:szCs w:val="32"/>
        </w:rPr>
        <w:t>附件1</w:t>
      </w:r>
    </w:p>
    <w:p>
      <w:pPr>
        <w:spacing w:line="560" w:lineRule="exact"/>
        <w:rPr>
          <w:rFonts w:hint="eastAsia" w:ascii="黑体" w:hAnsi="黑体" w:eastAsia="黑体"/>
          <w:sz w:val="32"/>
          <w:szCs w:val="32"/>
        </w:rPr>
      </w:pPr>
      <w:r>
        <w:rPr>
          <w:rFonts w:hint="eastAsia" w:ascii="黑体" w:hAnsi="黑体" w:eastAsia="黑体"/>
          <w:sz w:val="32"/>
          <w:szCs w:val="32"/>
        </w:rPr>
        <w:t xml:space="preserve"> </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评分细则</w:t>
      </w:r>
    </w:p>
    <w:p>
      <w:pPr>
        <w:spacing w:line="560" w:lineRule="exact"/>
        <w:rPr>
          <w:rFonts w:hint="eastAsia" w:ascii="方正小标宋简体" w:eastAsia="方正小标宋简体"/>
          <w:sz w:val="44"/>
          <w:szCs w:val="44"/>
        </w:rPr>
      </w:pPr>
      <w:r>
        <w:rPr>
          <w:rFonts w:hint="eastAsia" w:ascii="方正小标宋简体" w:eastAsia="方正小标宋简体"/>
          <w:sz w:val="44"/>
          <w:szCs w:val="44"/>
        </w:rPr>
        <w:t xml:space="preserve"> </w:t>
      </w:r>
    </w:p>
    <w:tbl>
      <w:tblPr>
        <w:tblStyle w:val="2"/>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76"/>
        <w:gridCol w:w="567"/>
        <w:gridCol w:w="1844"/>
        <w:gridCol w:w="709"/>
        <w:gridCol w:w="538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576" w:type="dxa"/>
            <w:tcBorders>
              <w:top w:val="inset" w:color="auto" w:sz="6" w:space="0"/>
              <w:left w:val="inset" w:color="auto" w:sz="6" w:space="0"/>
              <w:bottom w:val="inset" w:color="auto" w:sz="6" w:space="0"/>
              <w:right w:val="inset" w:color="auto" w:sz="6" w:space="0"/>
            </w:tcBorders>
            <w:vAlign w:val="center"/>
          </w:tcPr>
          <w:p>
            <w:pPr>
              <w:spacing w:line="0" w:lineRule="atLeast"/>
              <w:jc w:val="center"/>
              <w:rPr>
                <w:rFonts w:ascii="黑体" w:hAnsi="黑体" w:eastAsia="黑体"/>
                <w:spacing w:val="10"/>
                <w:sz w:val="24"/>
                <w:szCs w:val="24"/>
              </w:rPr>
            </w:pPr>
            <w:r>
              <w:rPr>
                <w:rFonts w:hint="eastAsia" w:ascii="黑体" w:hAnsi="黑体" w:eastAsia="黑体"/>
                <w:spacing w:val="10"/>
                <w:sz w:val="24"/>
                <w:szCs w:val="24"/>
              </w:rPr>
              <w:t>序号</w:t>
            </w:r>
          </w:p>
        </w:tc>
        <w:tc>
          <w:tcPr>
            <w:tcW w:w="567" w:type="dxa"/>
            <w:tcBorders>
              <w:top w:val="inset" w:color="auto" w:sz="6" w:space="0"/>
              <w:left w:val="single" w:color="auto" w:sz="2" w:space="0"/>
              <w:bottom w:val="inset" w:color="auto" w:sz="6" w:space="0"/>
              <w:right w:val="inset" w:color="auto" w:sz="6" w:space="0"/>
            </w:tcBorders>
            <w:vAlign w:val="center"/>
          </w:tcPr>
          <w:p>
            <w:pPr>
              <w:spacing w:line="0" w:lineRule="atLeast"/>
              <w:jc w:val="center"/>
              <w:rPr>
                <w:rFonts w:ascii="黑体" w:hAnsi="黑体" w:eastAsia="黑体"/>
                <w:spacing w:val="10"/>
                <w:sz w:val="24"/>
                <w:szCs w:val="24"/>
              </w:rPr>
            </w:pPr>
            <w:r>
              <w:rPr>
                <w:rFonts w:hint="eastAsia" w:ascii="黑体" w:hAnsi="黑体" w:eastAsia="黑体"/>
                <w:spacing w:val="10"/>
                <w:sz w:val="24"/>
                <w:szCs w:val="24"/>
              </w:rPr>
              <w:t>评分因素</w:t>
            </w:r>
          </w:p>
        </w:tc>
        <w:tc>
          <w:tcPr>
            <w:tcW w:w="1844" w:type="dxa"/>
            <w:tcBorders>
              <w:top w:val="inset" w:color="auto" w:sz="6" w:space="0"/>
              <w:left w:val="single" w:color="auto" w:sz="2" w:space="0"/>
              <w:bottom w:val="inset" w:color="auto" w:sz="6" w:space="0"/>
              <w:right w:val="inset" w:color="auto" w:sz="6" w:space="0"/>
            </w:tcBorders>
            <w:vAlign w:val="center"/>
          </w:tcPr>
          <w:p>
            <w:pPr>
              <w:spacing w:line="0" w:lineRule="atLeast"/>
              <w:jc w:val="center"/>
              <w:rPr>
                <w:rFonts w:ascii="黑体" w:hAnsi="黑体" w:eastAsia="黑体"/>
                <w:spacing w:val="10"/>
                <w:sz w:val="24"/>
                <w:szCs w:val="24"/>
              </w:rPr>
            </w:pPr>
            <w:r>
              <w:rPr>
                <w:rFonts w:hint="eastAsia" w:ascii="黑体" w:hAnsi="黑体" w:eastAsia="黑体"/>
                <w:spacing w:val="10"/>
                <w:sz w:val="24"/>
                <w:szCs w:val="24"/>
              </w:rPr>
              <w:t>评价内容</w:t>
            </w:r>
          </w:p>
        </w:tc>
        <w:tc>
          <w:tcPr>
            <w:tcW w:w="709" w:type="dxa"/>
            <w:tcBorders>
              <w:top w:val="inset" w:color="auto" w:sz="6" w:space="0"/>
              <w:left w:val="single" w:color="auto" w:sz="2" w:space="0"/>
              <w:bottom w:val="inset" w:color="auto" w:sz="6" w:space="0"/>
              <w:right w:val="inset" w:color="auto" w:sz="6" w:space="0"/>
            </w:tcBorders>
            <w:vAlign w:val="center"/>
          </w:tcPr>
          <w:p>
            <w:pPr>
              <w:spacing w:line="0" w:lineRule="atLeast"/>
              <w:jc w:val="center"/>
              <w:rPr>
                <w:rFonts w:ascii="黑体" w:hAnsi="黑体" w:eastAsia="黑体"/>
                <w:spacing w:val="10"/>
                <w:sz w:val="24"/>
                <w:szCs w:val="24"/>
              </w:rPr>
            </w:pPr>
            <w:r>
              <w:rPr>
                <w:rFonts w:hint="eastAsia" w:ascii="黑体" w:hAnsi="黑体" w:eastAsia="黑体"/>
                <w:spacing w:val="10"/>
                <w:sz w:val="24"/>
                <w:szCs w:val="24"/>
              </w:rPr>
              <w:t>分值</w:t>
            </w:r>
          </w:p>
        </w:tc>
        <w:tc>
          <w:tcPr>
            <w:tcW w:w="5388" w:type="dxa"/>
            <w:tcBorders>
              <w:top w:val="inset" w:color="auto" w:sz="6" w:space="0"/>
              <w:left w:val="single" w:color="auto" w:sz="2" w:space="0"/>
              <w:bottom w:val="inset" w:color="auto" w:sz="6" w:space="0"/>
              <w:right w:val="inset" w:color="auto" w:sz="6" w:space="0"/>
            </w:tcBorders>
            <w:vAlign w:val="center"/>
          </w:tcPr>
          <w:p>
            <w:pPr>
              <w:spacing w:line="0" w:lineRule="atLeast"/>
              <w:jc w:val="center"/>
              <w:rPr>
                <w:rFonts w:ascii="黑体" w:hAnsi="黑体" w:eastAsia="黑体"/>
                <w:spacing w:val="10"/>
                <w:sz w:val="24"/>
                <w:szCs w:val="24"/>
              </w:rPr>
            </w:pPr>
            <w:r>
              <w:rPr>
                <w:rFonts w:hint="eastAsia" w:ascii="黑体" w:hAnsi="黑体" w:eastAsia="黑体"/>
                <w:spacing w:val="10"/>
                <w:sz w:val="24"/>
                <w:szCs w:val="24"/>
              </w:rPr>
              <w:t>规则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87" w:hRule="atLeast"/>
          <w:jc w:val="center"/>
        </w:trPr>
        <w:tc>
          <w:tcPr>
            <w:tcW w:w="576" w:type="dxa"/>
            <w:tcBorders>
              <w:top w:val="inset" w:color="auto" w:sz="6" w:space="0"/>
              <w:left w:val="inset" w:color="auto" w:sz="6" w:space="0"/>
              <w:bottom w:val="inset" w:color="auto" w:sz="6" w:space="0"/>
              <w:right w:val="inset" w:color="auto" w:sz="6" w:space="0"/>
            </w:tcBorders>
            <w:vAlign w:val="center"/>
          </w:tcPr>
          <w:p>
            <w:pPr>
              <w:spacing w:line="0" w:lineRule="atLeast"/>
              <w:jc w:val="center"/>
              <w:rPr>
                <w:rFonts w:ascii="仿宋_GB2312" w:eastAsia="仿宋_GB2312"/>
                <w:spacing w:val="10"/>
                <w:sz w:val="24"/>
                <w:szCs w:val="24"/>
              </w:rPr>
            </w:pPr>
            <w:r>
              <w:rPr>
                <w:rFonts w:hint="eastAsia" w:ascii="仿宋_GB2312" w:eastAsia="仿宋_GB2312"/>
                <w:spacing w:val="10"/>
                <w:sz w:val="24"/>
                <w:szCs w:val="24"/>
              </w:rPr>
              <w:t>一</w:t>
            </w:r>
          </w:p>
        </w:tc>
        <w:tc>
          <w:tcPr>
            <w:tcW w:w="567" w:type="dxa"/>
            <w:tcBorders>
              <w:top w:val="inset" w:color="auto" w:sz="6" w:space="0"/>
              <w:left w:val="single" w:color="auto" w:sz="2" w:space="0"/>
              <w:bottom w:val="inset" w:color="auto" w:sz="6" w:space="0"/>
              <w:right w:val="inset" w:color="auto" w:sz="6" w:space="0"/>
            </w:tcBorders>
            <w:vAlign w:val="center"/>
          </w:tcPr>
          <w:p>
            <w:pPr>
              <w:spacing w:line="0" w:lineRule="atLeast"/>
              <w:jc w:val="center"/>
              <w:rPr>
                <w:rFonts w:ascii="仿宋_GB2312" w:eastAsia="仿宋_GB2312"/>
                <w:spacing w:val="10"/>
                <w:sz w:val="24"/>
                <w:szCs w:val="24"/>
              </w:rPr>
            </w:pPr>
            <w:r>
              <w:rPr>
                <w:rFonts w:hint="eastAsia" w:ascii="仿宋_GB2312" w:eastAsia="仿宋_GB2312"/>
                <w:spacing w:val="10"/>
                <w:sz w:val="24"/>
                <w:szCs w:val="24"/>
              </w:rPr>
              <w:t>投标报价20分</w:t>
            </w:r>
          </w:p>
        </w:tc>
        <w:tc>
          <w:tcPr>
            <w:tcW w:w="1844" w:type="dxa"/>
            <w:tcBorders>
              <w:top w:val="inset" w:color="auto" w:sz="6" w:space="0"/>
              <w:left w:val="single" w:color="auto" w:sz="2" w:space="0"/>
              <w:bottom w:val="inset" w:color="auto" w:sz="6" w:space="0"/>
              <w:right w:val="inset" w:color="auto" w:sz="6" w:space="0"/>
            </w:tcBorders>
            <w:vAlign w:val="center"/>
          </w:tcPr>
          <w:p>
            <w:pPr>
              <w:spacing w:line="0" w:lineRule="atLeast"/>
              <w:jc w:val="center"/>
              <w:rPr>
                <w:rFonts w:ascii="仿宋_GB2312" w:eastAsia="仿宋_GB2312"/>
                <w:spacing w:val="10"/>
                <w:sz w:val="24"/>
                <w:szCs w:val="24"/>
              </w:rPr>
            </w:pPr>
            <w:r>
              <w:rPr>
                <w:rFonts w:hint="eastAsia" w:ascii="仿宋_GB2312" w:eastAsia="仿宋_GB2312"/>
                <w:spacing w:val="10"/>
                <w:sz w:val="24"/>
                <w:szCs w:val="24"/>
              </w:rPr>
              <w:t>投标报价</w:t>
            </w:r>
          </w:p>
        </w:tc>
        <w:tc>
          <w:tcPr>
            <w:tcW w:w="709" w:type="dxa"/>
            <w:tcBorders>
              <w:top w:val="inset" w:color="auto" w:sz="6" w:space="0"/>
              <w:left w:val="single" w:color="auto" w:sz="2" w:space="0"/>
              <w:bottom w:val="inset" w:color="auto" w:sz="6" w:space="0"/>
              <w:right w:val="inset" w:color="auto" w:sz="6" w:space="0"/>
            </w:tcBorders>
            <w:vAlign w:val="center"/>
          </w:tcPr>
          <w:p>
            <w:pPr>
              <w:spacing w:line="0" w:lineRule="atLeast"/>
              <w:jc w:val="center"/>
              <w:rPr>
                <w:rFonts w:ascii="仿宋_GB2312" w:eastAsia="仿宋_GB2312"/>
                <w:spacing w:val="10"/>
                <w:sz w:val="24"/>
                <w:szCs w:val="24"/>
              </w:rPr>
            </w:pPr>
            <w:r>
              <w:rPr>
                <w:rFonts w:hint="eastAsia" w:ascii="仿宋_GB2312" w:eastAsia="仿宋_GB2312"/>
                <w:spacing w:val="10"/>
                <w:sz w:val="24"/>
                <w:szCs w:val="24"/>
              </w:rPr>
              <w:t>20</w:t>
            </w:r>
          </w:p>
        </w:tc>
        <w:tc>
          <w:tcPr>
            <w:tcW w:w="5388" w:type="dxa"/>
            <w:tcBorders>
              <w:top w:val="inset" w:color="auto" w:sz="6" w:space="0"/>
              <w:left w:val="single" w:color="auto" w:sz="2" w:space="0"/>
              <w:bottom w:val="inset" w:color="auto" w:sz="6" w:space="0"/>
              <w:right w:val="inset" w:color="auto" w:sz="6" w:space="0"/>
            </w:tcBorders>
            <w:vAlign w:val="center"/>
          </w:tcPr>
          <w:p>
            <w:pPr>
              <w:spacing w:line="0" w:lineRule="atLeast"/>
              <w:jc w:val="left"/>
              <w:rPr>
                <w:rFonts w:ascii="仿宋_GB2312" w:eastAsia="仿宋_GB2312"/>
                <w:spacing w:val="10"/>
                <w:sz w:val="24"/>
                <w:szCs w:val="24"/>
              </w:rPr>
            </w:pPr>
            <w:r>
              <w:rPr>
                <w:rFonts w:hint="eastAsia" w:ascii="仿宋_GB2312" w:eastAsia="仿宋_GB2312"/>
                <w:spacing w:val="10"/>
                <w:sz w:val="24"/>
                <w:szCs w:val="24"/>
              </w:rPr>
              <w:t>综合评分法中的价格分统一采用低价优先法计算，即满足招标文件要求且投标价格最低的投标报价为评标基准价，其价格分为满分。其他投标人的价格分统一按照下列公式计算：</w:t>
            </w:r>
          </w:p>
          <w:p>
            <w:pPr>
              <w:spacing w:line="0" w:lineRule="atLeast"/>
              <w:jc w:val="left"/>
              <w:rPr>
                <w:rFonts w:ascii="仿宋_GB2312" w:eastAsia="仿宋_GB2312"/>
                <w:spacing w:val="10"/>
                <w:sz w:val="24"/>
                <w:szCs w:val="24"/>
              </w:rPr>
            </w:pPr>
            <w:r>
              <w:rPr>
                <w:rFonts w:hint="eastAsia" w:ascii="仿宋_GB2312" w:eastAsia="仿宋_GB2312"/>
                <w:spacing w:val="10"/>
                <w:sz w:val="24"/>
                <w:szCs w:val="24"/>
              </w:rPr>
              <w:t>投标报价得分=（评标基准价/投标报价）×分值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70" w:hRule="atLeast"/>
          <w:jc w:val="center"/>
        </w:trPr>
        <w:tc>
          <w:tcPr>
            <w:tcW w:w="576" w:type="dxa"/>
            <w:vMerge w:val="restart"/>
            <w:tcBorders>
              <w:top w:val="single" w:color="auto" w:sz="4" w:space="0"/>
              <w:left w:val="inset" w:color="auto" w:sz="6" w:space="0"/>
              <w:bottom w:val="single" w:color="auto" w:sz="4" w:space="0"/>
              <w:right w:val="inset" w:color="auto" w:sz="6" w:space="0"/>
            </w:tcBorders>
            <w:vAlign w:val="center"/>
          </w:tcPr>
          <w:p>
            <w:pPr>
              <w:spacing w:line="0" w:lineRule="atLeast"/>
              <w:jc w:val="center"/>
              <w:rPr>
                <w:rFonts w:ascii="仿宋_GB2312" w:eastAsia="仿宋_GB2312"/>
                <w:spacing w:val="10"/>
                <w:sz w:val="24"/>
                <w:szCs w:val="24"/>
              </w:rPr>
            </w:pPr>
            <w:r>
              <w:rPr>
                <w:rFonts w:hint="eastAsia" w:ascii="仿宋_GB2312" w:eastAsia="仿宋_GB2312"/>
                <w:spacing w:val="10"/>
                <w:sz w:val="24"/>
                <w:szCs w:val="24"/>
              </w:rPr>
              <w:t>二</w:t>
            </w:r>
          </w:p>
          <w:p>
            <w:pPr>
              <w:spacing w:line="0" w:lineRule="atLeast"/>
              <w:jc w:val="center"/>
              <w:rPr>
                <w:rFonts w:ascii="仿宋_GB2312" w:eastAsia="仿宋_GB2312"/>
                <w:spacing w:val="10"/>
                <w:sz w:val="24"/>
                <w:szCs w:val="24"/>
              </w:rPr>
            </w:pPr>
          </w:p>
        </w:tc>
        <w:tc>
          <w:tcPr>
            <w:tcW w:w="567" w:type="dxa"/>
            <w:vMerge w:val="restart"/>
            <w:tcBorders>
              <w:top w:val="single" w:color="auto" w:sz="4" w:space="0"/>
              <w:left w:val="single" w:color="auto" w:sz="2" w:space="0"/>
              <w:bottom w:val="single" w:color="auto" w:sz="4" w:space="0"/>
              <w:right w:val="inset" w:color="auto" w:sz="6" w:space="0"/>
            </w:tcBorders>
            <w:vAlign w:val="center"/>
          </w:tcPr>
          <w:p>
            <w:pPr>
              <w:spacing w:line="0" w:lineRule="atLeast"/>
              <w:jc w:val="center"/>
              <w:rPr>
                <w:rFonts w:ascii="仿宋_GB2312" w:eastAsia="仿宋_GB2312"/>
                <w:spacing w:val="10"/>
                <w:sz w:val="24"/>
                <w:szCs w:val="24"/>
              </w:rPr>
            </w:pPr>
            <w:r>
              <w:rPr>
                <w:rFonts w:hint="eastAsia" w:ascii="仿宋_GB2312" w:eastAsia="仿宋_GB2312"/>
                <w:spacing w:val="10"/>
                <w:sz w:val="24"/>
                <w:szCs w:val="24"/>
              </w:rPr>
              <w:t>技术论证部分</w:t>
            </w:r>
          </w:p>
          <w:p>
            <w:pPr>
              <w:spacing w:line="0" w:lineRule="atLeast"/>
              <w:jc w:val="center"/>
              <w:rPr>
                <w:rFonts w:ascii="仿宋_GB2312" w:eastAsia="仿宋_GB2312"/>
                <w:spacing w:val="10"/>
                <w:sz w:val="24"/>
                <w:szCs w:val="24"/>
              </w:rPr>
            </w:pPr>
            <w:r>
              <w:rPr>
                <w:rFonts w:hint="eastAsia" w:ascii="仿宋_GB2312" w:eastAsia="仿宋_GB2312"/>
                <w:spacing w:val="10"/>
                <w:sz w:val="24"/>
                <w:szCs w:val="24"/>
              </w:rPr>
              <w:t>40分</w:t>
            </w:r>
          </w:p>
        </w:tc>
        <w:tc>
          <w:tcPr>
            <w:tcW w:w="1844" w:type="dxa"/>
            <w:tcBorders>
              <w:top w:val="single" w:color="auto" w:sz="4" w:space="0"/>
              <w:left w:val="single" w:color="auto" w:sz="2" w:space="0"/>
              <w:bottom w:val="single" w:color="auto" w:sz="4" w:space="0"/>
              <w:right w:val="inset" w:color="auto" w:sz="6" w:space="0"/>
            </w:tcBorders>
            <w:vAlign w:val="center"/>
          </w:tcPr>
          <w:p>
            <w:pPr>
              <w:spacing w:line="0" w:lineRule="atLeast"/>
              <w:jc w:val="center"/>
              <w:rPr>
                <w:rFonts w:ascii="仿宋_GB2312" w:eastAsia="仿宋_GB2312"/>
                <w:spacing w:val="10"/>
                <w:sz w:val="24"/>
                <w:szCs w:val="24"/>
              </w:rPr>
            </w:pPr>
            <w:r>
              <w:rPr>
                <w:rFonts w:hint="eastAsia" w:ascii="仿宋_GB2312" w:eastAsia="仿宋_GB2312"/>
                <w:spacing w:val="10"/>
                <w:sz w:val="24"/>
                <w:szCs w:val="24"/>
              </w:rPr>
              <w:t>项目实施方案</w:t>
            </w:r>
          </w:p>
        </w:tc>
        <w:tc>
          <w:tcPr>
            <w:tcW w:w="709" w:type="dxa"/>
            <w:tcBorders>
              <w:top w:val="single" w:color="auto" w:sz="4" w:space="0"/>
              <w:left w:val="single" w:color="auto" w:sz="2" w:space="0"/>
              <w:bottom w:val="inset" w:color="auto" w:sz="6" w:space="0"/>
              <w:right w:val="inset" w:color="auto" w:sz="6" w:space="0"/>
            </w:tcBorders>
            <w:vAlign w:val="center"/>
          </w:tcPr>
          <w:p>
            <w:pPr>
              <w:spacing w:line="0" w:lineRule="atLeast"/>
              <w:jc w:val="center"/>
              <w:rPr>
                <w:rFonts w:ascii="仿宋_GB2312" w:eastAsia="仿宋_GB2312"/>
                <w:spacing w:val="10"/>
                <w:sz w:val="24"/>
                <w:szCs w:val="24"/>
              </w:rPr>
            </w:pPr>
            <w:r>
              <w:rPr>
                <w:rFonts w:hint="eastAsia" w:ascii="仿宋_GB2312" w:eastAsia="仿宋_GB2312"/>
                <w:spacing w:val="10"/>
                <w:sz w:val="24"/>
                <w:szCs w:val="24"/>
              </w:rPr>
              <w:t>10</w:t>
            </w:r>
          </w:p>
        </w:tc>
        <w:tc>
          <w:tcPr>
            <w:tcW w:w="5388" w:type="dxa"/>
            <w:tcBorders>
              <w:top w:val="inset" w:color="auto" w:sz="6" w:space="0"/>
              <w:left w:val="single" w:color="auto" w:sz="2" w:space="0"/>
              <w:bottom w:val="inset" w:color="auto" w:sz="6" w:space="0"/>
              <w:right w:val="inset" w:color="auto" w:sz="6" w:space="0"/>
            </w:tcBorders>
            <w:vAlign w:val="center"/>
          </w:tcPr>
          <w:p>
            <w:pPr>
              <w:spacing w:line="0" w:lineRule="atLeast"/>
              <w:jc w:val="left"/>
              <w:rPr>
                <w:rFonts w:ascii="仿宋_GB2312" w:eastAsia="仿宋_GB2312"/>
                <w:spacing w:val="10"/>
                <w:sz w:val="24"/>
                <w:szCs w:val="24"/>
              </w:rPr>
            </w:pPr>
            <w:r>
              <w:rPr>
                <w:rFonts w:hint="eastAsia" w:ascii="仿宋_GB2312" w:eastAsia="仿宋_GB2312"/>
                <w:sz w:val="24"/>
                <w:szCs w:val="24"/>
              </w:rPr>
              <w:t>评审内容：</w:t>
            </w:r>
            <w:r>
              <w:rPr>
                <w:rFonts w:hint="eastAsia" w:ascii="仿宋_GB2312" w:eastAsia="仿宋_GB2312"/>
                <w:spacing w:val="10"/>
                <w:sz w:val="24"/>
                <w:szCs w:val="24"/>
              </w:rPr>
              <w:t>具有完整详细的实施方案，包括服务目标、服务措施、重点及具体服务内容等；提供服务计划，具有科学性和操作性、具有符合项目需求的措施、方法、手段及流程。</w:t>
            </w:r>
          </w:p>
          <w:p>
            <w:pPr>
              <w:wordWrap w:val="0"/>
              <w:jc w:val="left"/>
              <w:rPr>
                <w:rFonts w:hint="eastAsia" w:ascii="仿宋_GB2312" w:eastAsia="仿宋_GB2312"/>
                <w:sz w:val="24"/>
                <w:szCs w:val="24"/>
              </w:rPr>
            </w:pPr>
            <w:r>
              <w:rPr>
                <w:rFonts w:hint="eastAsia" w:ascii="仿宋_GB2312" w:eastAsia="仿宋_GB2312"/>
                <w:sz w:val="24"/>
                <w:szCs w:val="24"/>
              </w:rPr>
              <w:t xml:space="preserve">投标人提供实施方案的全面性，服务内容的完整性、可操作性给予打分。根据招标文件的需求和投标文件响应情况进行评审： </w:t>
            </w:r>
          </w:p>
          <w:p>
            <w:pPr>
              <w:wordWrap w:val="0"/>
              <w:rPr>
                <w:rFonts w:hint="eastAsia" w:ascii="仿宋_GB2312" w:eastAsia="仿宋_GB2312"/>
                <w:sz w:val="24"/>
                <w:szCs w:val="24"/>
              </w:rPr>
            </w:pPr>
            <w:r>
              <w:rPr>
                <w:rFonts w:hint="eastAsia" w:ascii="仿宋_GB2312" w:eastAsia="仿宋_GB2312"/>
                <w:sz w:val="24"/>
                <w:szCs w:val="24"/>
              </w:rPr>
              <w:t xml:space="preserve">（1）实施方案内容全面； </w:t>
            </w:r>
          </w:p>
          <w:p>
            <w:pPr>
              <w:wordWrap w:val="0"/>
              <w:rPr>
                <w:rFonts w:hint="eastAsia" w:ascii="仿宋_GB2312" w:eastAsia="仿宋_GB2312"/>
                <w:sz w:val="24"/>
                <w:szCs w:val="24"/>
              </w:rPr>
            </w:pPr>
            <w:r>
              <w:rPr>
                <w:rFonts w:hint="eastAsia" w:ascii="仿宋_GB2312" w:eastAsia="仿宋_GB2312"/>
                <w:sz w:val="24"/>
                <w:szCs w:val="24"/>
              </w:rPr>
              <w:t>（2）实施方案内容具体，表达清晰、完整、严谨；</w:t>
            </w:r>
          </w:p>
          <w:p>
            <w:pPr>
              <w:wordWrap w:val="0"/>
              <w:rPr>
                <w:rFonts w:hint="eastAsia" w:ascii="仿宋_GB2312" w:eastAsia="仿宋_GB2312"/>
                <w:sz w:val="24"/>
                <w:szCs w:val="24"/>
              </w:rPr>
            </w:pPr>
            <w:r>
              <w:rPr>
                <w:rFonts w:hint="eastAsia" w:ascii="仿宋_GB2312" w:eastAsia="仿宋_GB2312"/>
                <w:sz w:val="24"/>
                <w:szCs w:val="24"/>
              </w:rPr>
              <w:t xml:space="preserve">（3）实施方案内容针对性强； </w:t>
            </w:r>
          </w:p>
          <w:p>
            <w:pPr>
              <w:wordWrap w:val="0"/>
              <w:rPr>
                <w:rFonts w:hint="eastAsia" w:ascii="仿宋_GB2312" w:eastAsia="仿宋_GB2312"/>
                <w:sz w:val="24"/>
                <w:szCs w:val="24"/>
              </w:rPr>
            </w:pPr>
            <w:r>
              <w:rPr>
                <w:rFonts w:hint="eastAsia" w:ascii="仿宋_GB2312" w:eastAsia="仿宋_GB2312"/>
                <w:sz w:val="24"/>
                <w:szCs w:val="24"/>
              </w:rPr>
              <w:t xml:space="preserve">（4）实施方案内容先进，科学合理； </w:t>
            </w:r>
          </w:p>
          <w:p>
            <w:pPr>
              <w:wordWrap w:val="0"/>
              <w:rPr>
                <w:rFonts w:hint="eastAsia" w:ascii="仿宋_GB2312" w:eastAsia="仿宋_GB2312"/>
                <w:sz w:val="24"/>
                <w:szCs w:val="24"/>
              </w:rPr>
            </w:pPr>
            <w:r>
              <w:rPr>
                <w:rFonts w:hint="eastAsia" w:ascii="仿宋_GB2312" w:eastAsia="仿宋_GB2312"/>
                <w:sz w:val="24"/>
                <w:szCs w:val="24"/>
              </w:rPr>
              <w:t>（5）实施方案内容可操作性强。</w:t>
            </w:r>
          </w:p>
          <w:p>
            <w:pPr>
              <w:wordWrap w:val="0"/>
              <w:rPr>
                <w:rFonts w:hint="eastAsia" w:ascii="仿宋_GB2312" w:eastAsia="仿宋_GB2312"/>
                <w:sz w:val="24"/>
                <w:szCs w:val="24"/>
              </w:rPr>
            </w:pPr>
            <w:r>
              <w:rPr>
                <w:rFonts w:hint="eastAsia" w:ascii="仿宋_GB2312" w:eastAsia="仿宋_GB2312"/>
                <w:sz w:val="24"/>
                <w:szCs w:val="24"/>
              </w:rPr>
              <w:t>评审标准：满足以上五项要求得5分，满足以上四项要求得4分，满足以上三项要求得3分，满足以上二项要求得2分，满足以上一项要求得1分，其它情况不得分。在此基础上，评委根据各投标人的具体响应内容进行综合评价：评审为优的加5分，评审为良的加3分，评审为中的加 1分，评审为差的得0分。</w:t>
            </w:r>
          </w:p>
          <w:p>
            <w:pPr>
              <w:spacing w:line="0" w:lineRule="atLeast"/>
              <w:jc w:val="left"/>
              <w:rPr>
                <w:rFonts w:ascii="仿宋_GB2312" w:eastAsia="仿宋_GB2312"/>
                <w:spacing w:val="10"/>
                <w:sz w:val="24"/>
                <w:szCs w:val="24"/>
              </w:rPr>
            </w:pPr>
            <w:r>
              <w:rPr>
                <w:rFonts w:hint="eastAsia" w:ascii="仿宋_GB2312" w:eastAsia="仿宋_GB2312"/>
                <w:sz w:val="24"/>
                <w:szCs w:val="24"/>
              </w:rPr>
              <w:t>备注：评审为差，需书面说明理由，并记录在档。</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32" w:hRule="atLeast"/>
          <w:jc w:val="center"/>
        </w:trPr>
        <w:tc>
          <w:tcPr>
            <w:tcW w:w="576" w:type="dxa"/>
            <w:vMerge w:val="continue"/>
            <w:tcBorders>
              <w:top w:val="single" w:color="auto" w:sz="4" w:space="0"/>
              <w:left w:val="inset" w:color="auto" w:sz="6" w:space="0"/>
              <w:bottom w:val="single" w:color="auto" w:sz="4" w:space="0"/>
              <w:right w:val="inset" w:color="auto" w:sz="6" w:space="0"/>
            </w:tcBorders>
            <w:vAlign w:val="center"/>
          </w:tcPr>
          <w:p>
            <w:pPr>
              <w:widowControl/>
              <w:jc w:val="left"/>
              <w:rPr>
                <w:rFonts w:ascii="仿宋_GB2312" w:eastAsia="仿宋_GB2312"/>
                <w:spacing w:val="10"/>
                <w:sz w:val="24"/>
                <w:szCs w:val="24"/>
              </w:rPr>
            </w:pPr>
          </w:p>
        </w:tc>
        <w:tc>
          <w:tcPr>
            <w:tcW w:w="567" w:type="dxa"/>
            <w:vMerge w:val="continue"/>
            <w:tcBorders>
              <w:top w:val="single" w:color="auto" w:sz="4" w:space="0"/>
              <w:left w:val="single" w:color="auto" w:sz="2" w:space="0"/>
              <w:bottom w:val="single" w:color="auto" w:sz="4" w:space="0"/>
              <w:right w:val="inset" w:color="auto" w:sz="6" w:space="0"/>
            </w:tcBorders>
            <w:vAlign w:val="center"/>
          </w:tcPr>
          <w:p>
            <w:pPr>
              <w:widowControl/>
              <w:jc w:val="left"/>
              <w:rPr>
                <w:rFonts w:ascii="仿宋_GB2312" w:eastAsia="仿宋_GB2312"/>
                <w:spacing w:val="10"/>
                <w:sz w:val="24"/>
                <w:szCs w:val="24"/>
              </w:rPr>
            </w:pPr>
          </w:p>
        </w:tc>
        <w:tc>
          <w:tcPr>
            <w:tcW w:w="1844" w:type="dxa"/>
            <w:tcBorders>
              <w:top w:val="single" w:color="auto" w:sz="4" w:space="0"/>
              <w:left w:val="single" w:color="auto" w:sz="2" w:space="0"/>
              <w:bottom w:val="single" w:color="auto" w:sz="4" w:space="0"/>
              <w:right w:val="inset" w:color="auto" w:sz="6" w:space="0"/>
            </w:tcBorders>
            <w:vAlign w:val="center"/>
          </w:tcPr>
          <w:p>
            <w:pPr>
              <w:spacing w:line="0" w:lineRule="atLeast"/>
              <w:jc w:val="center"/>
              <w:rPr>
                <w:rFonts w:ascii="仿宋_GB2312" w:eastAsia="仿宋_GB2312"/>
                <w:spacing w:val="10"/>
                <w:sz w:val="24"/>
                <w:szCs w:val="24"/>
              </w:rPr>
            </w:pPr>
            <w:r>
              <w:rPr>
                <w:rFonts w:hint="eastAsia" w:ascii="仿宋_GB2312" w:eastAsia="仿宋_GB2312"/>
                <w:spacing w:val="10"/>
                <w:sz w:val="24"/>
                <w:szCs w:val="24"/>
              </w:rPr>
              <w:t>项目重点难点分析、应对措施及相关的合理化建议</w:t>
            </w:r>
          </w:p>
        </w:tc>
        <w:tc>
          <w:tcPr>
            <w:tcW w:w="709" w:type="dxa"/>
            <w:tcBorders>
              <w:top w:val="single" w:color="auto" w:sz="4" w:space="0"/>
              <w:left w:val="single" w:color="auto" w:sz="2" w:space="0"/>
              <w:bottom w:val="inset" w:color="auto" w:sz="6" w:space="0"/>
              <w:right w:val="inset" w:color="auto" w:sz="6" w:space="0"/>
            </w:tcBorders>
            <w:vAlign w:val="center"/>
          </w:tcPr>
          <w:p>
            <w:pPr>
              <w:spacing w:line="0" w:lineRule="atLeast"/>
              <w:jc w:val="center"/>
              <w:rPr>
                <w:rFonts w:ascii="仿宋_GB2312" w:eastAsia="仿宋_GB2312"/>
                <w:spacing w:val="10"/>
                <w:sz w:val="24"/>
                <w:szCs w:val="24"/>
              </w:rPr>
            </w:pPr>
            <w:r>
              <w:rPr>
                <w:rFonts w:hint="eastAsia" w:ascii="仿宋_GB2312" w:eastAsia="仿宋_GB2312"/>
                <w:spacing w:val="10"/>
                <w:sz w:val="24"/>
                <w:szCs w:val="24"/>
              </w:rPr>
              <w:t>10</w:t>
            </w:r>
          </w:p>
        </w:tc>
        <w:tc>
          <w:tcPr>
            <w:tcW w:w="5388" w:type="dxa"/>
            <w:tcBorders>
              <w:top w:val="inset" w:color="auto" w:sz="6" w:space="0"/>
              <w:left w:val="single" w:color="auto" w:sz="2" w:space="0"/>
              <w:bottom w:val="inset" w:color="auto" w:sz="6" w:space="0"/>
              <w:right w:val="inset" w:color="auto" w:sz="6" w:space="0"/>
            </w:tcBorders>
            <w:vAlign w:val="center"/>
          </w:tcPr>
          <w:p>
            <w:pPr>
              <w:spacing w:line="0" w:lineRule="atLeast"/>
              <w:jc w:val="left"/>
              <w:rPr>
                <w:rFonts w:ascii="仿宋_GB2312" w:eastAsia="仿宋_GB2312"/>
                <w:spacing w:val="10"/>
                <w:sz w:val="24"/>
                <w:szCs w:val="24"/>
              </w:rPr>
            </w:pPr>
            <w:r>
              <w:rPr>
                <w:rFonts w:hint="eastAsia" w:ascii="仿宋_GB2312" w:eastAsia="仿宋_GB2312"/>
                <w:spacing w:val="10"/>
                <w:sz w:val="24"/>
                <w:szCs w:val="24"/>
              </w:rPr>
              <w:t>对项目实施重点与难点进行分析，分析到位、合理、深入，且对重点难点有明确的应对措施。</w:t>
            </w:r>
          </w:p>
          <w:p>
            <w:pPr>
              <w:spacing w:line="0" w:lineRule="atLeast"/>
              <w:jc w:val="left"/>
              <w:rPr>
                <w:rFonts w:hint="eastAsia" w:ascii="仿宋_GB2312" w:eastAsia="仿宋_GB2312"/>
                <w:spacing w:val="10"/>
                <w:sz w:val="24"/>
                <w:szCs w:val="24"/>
              </w:rPr>
            </w:pPr>
            <w:r>
              <w:rPr>
                <w:rFonts w:hint="eastAsia" w:ascii="仿宋_GB2312" w:eastAsia="仿宋_GB2312"/>
                <w:spacing w:val="10"/>
                <w:sz w:val="24"/>
                <w:szCs w:val="24"/>
              </w:rPr>
              <w:t>评分依据：</w:t>
            </w:r>
          </w:p>
          <w:p>
            <w:pPr>
              <w:wordWrap w:val="0"/>
              <w:rPr>
                <w:rFonts w:hint="eastAsia" w:ascii="仿宋_GB2312" w:eastAsia="仿宋_GB2312"/>
                <w:sz w:val="24"/>
                <w:szCs w:val="24"/>
              </w:rPr>
            </w:pPr>
            <w:r>
              <w:rPr>
                <w:rFonts w:hint="eastAsia" w:ascii="仿宋_GB2312" w:eastAsia="仿宋_GB2312"/>
                <w:sz w:val="24"/>
                <w:szCs w:val="24"/>
              </w:rPr>
              <w:t xml:space="preserve">（1）项目重点难点分析、应对措施及相关的合理化建议内容全面； </w:t>
            </w:r>
          </w:p>
          <w:p>
            <w:pPr>
              <w:wordWrap w:val="0"/>
              <w:rPr>
                <w:rFonts w:hint="eastAsia" w:ascii="仿宋_GB2312" w:eastAsia="仿宋_GB2312"/>
                <w:sz w:val="24"/>
                <w:szCs w:val="24"/>
              </w:rPr>
            </w:pPr>
            <w:r>
              <w:rPr>
                <w:rFonts w:hint="eastAsia" w:ascii="仿宋_GB2312" w:eastAsia="仿宋_GB2312"/>
                <w:sz w:val="24"/>
                <w:szCs w:val="24"/>
              </w:rPr>
              <w:t xml:space="preserve">（2）项目重点难点分析、应对措施及相关的合理化建议内容具体，表达清晰、完整、严谨； </w:t>
            </w:r>
          </w:p>
          <w:p>
            <w:pPr>
              <w:wordWrap w:val="0"/>
              <w:rPr>
                <w:rFonts w:hint="eastAsia" w:ascii="仿宋_GB2312" w:eastAsia="仿宋_GB2312"/>
                <w:sz w:val="24"/>
                <w:szCs w:val="24"/>
              </w:rPr>
            </w:pPr>
            <w:r>
              <w:rPr>
                <w:rFonts w:hint="eastAsia" w:ascii="仿宋_GB2312" w:eastAsia="仿宋_GB2312"/>
                <w:sz w:val="24"/>
                <w:szCs w:val="24"/>
              </w:rPr>
              <w:t xml:space="preserve">（3）项目重点难点分析、应对措施及相关的合理化建议内容针对性强； </w:t>
            </w:r>
          </w:p>
          <w:p>
            <w:pPr>
              <w:wordWrap w:val="0"/>
              <w:rPr>
                <w:rFonts w:hint="eastAsia" w:ascii="仿宋_GB2312" w:eastAsia="仿宋_GB2312"/>
                <w:sz w:val="24"/>
                <w:szCs w:val="24"/>
              </w:rPr>
            </w:pPr>
            <w:r>
              <w:rPr>
                <w:rFonts w:hint="eastAsia" w:ascii="仿宋_GB2312" w:eastAsia="仿宋_GB2312"/>
                <w:sz w:val="24"/>
                <w:szCs w:val="24"/>
              </w:rPr>
              <w:t xml:space="preserve">（4）项目重点难点分析、应对措施及相关的合理化建议内容先进，科学合理； </w:t>
            </w:r>
          </w:p>
          <w:p>
            <w:pPr>
              <w:wordWrap w:val="0"/>
              <w:rPr>
                <w:rFonts w:hint="eastAsia" w:ascii="仿宋_GB2312" w:eastAsia="仿宋_GB2312"/>
                <w:sz w:val="24"/>
                <w:szCs w:val="24"/>
              </w:rPr>
            </w:pPr>
            <w:r>
              <w:rPr>
                <w:rFonts w:hint="eastAsia" w:ascii="仿宋_GB2312" w:eastAsia="仿宋_GB2312"/>
                <w:sz w:val="24"/>
                <w:szCs w:val="24"/>
              </w:rPr>
              <w:t xml:space="preserve">（5）项目重点难点分析、应对措施及相关的合理化建议内容可操作性强。 </w:t>
            </w:r>
          </w:p>
          <w:p>
            <w:pPr>
              <w:wordWrap w:val="0"/>
              <w:rPr>
                <w:rFonts w:hint="eastAsia" w:ascii="仿宋_GB2312" w:eastAsia="仿宋_GB2312"/>
                <w:sz w:val="24"/>
                <w:szCs w:val="24"/>
              </w:rPr>
            </w:pPr>
            <w:r>
              <w:rPr>
                <w:rFonts w:hint="eastAsia" w:ascii="仿宋_GB2312" w:eastAsia="仿宋_GB2312"/>
                <w:sz w:val="24"/>
                <w:szCs w:val="24"/>
              </w:rPr>
              <w:t>评审标准：满足以上五项要求得5分，满足以上四项要求得4分，满足以上三项要求得3分，满足以上二项要求得2分，满足以上一项要求得1分，其它情况不得分。在此基础上，评委根据各投标人的具体响应内容进行综合评价：评审为优的加5分，评审为良的加3分，评审为中的加 1分，评审为差的得0分。</w:t>
            </w:r>
          </w:p>
          <w:p>
            <w:pPr>
              <w:spacing w:line="0" w:lineRule="atLeast"/>
              <w:jc w:val="left"/>
              <w:rPr>
                <w:rFonts w:ascii="仿宋_GB2312" w:eastAsia="仿宋_GB2312"/>
                <w:spacing w:val="10"/>
                <w:sz w:val="24"/>
                <w:szCs w:val="24"/>
              </w:rPr>
            </w:pPr>
            <w:r>
              <w:rPr>
                <w:rFonts w:hint="eastAsia" w:ascii="仿宋_GB2312" w:eastAsia="仿宋_GB2312"/>
                <w:sz w:val="24"/>
                <w:szCs w:val="24"/>
              </w:rPr>
              <w:t>备注：评审为差，需书面说明理由，并记录在档。</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850" w:hRule="atLeast"/>
          <w:jc w:val="center"/>
        </w:trPr>
        <w:tc>
          <w:tcPr>
            <w:tcW w:w="576" w:type="dxa"/>
            <w:vMerge w:val="continue"/>
            <w:tcBorders>
              <w:top w:val="single" w:color="auto" w:sz="4" w:space="0"/>
              <w:left w:val="inset" w:color="auto" w:sz="6" w:space="0"/>
              <w:bottom w:val="single" w:color="auto" w:sz="4" w:space="0"/>
              <w:right w:val="inset" w:color="auto" w:sz="6" w:space="0"/>
            </w:tcBorders>
            <w:vAlign w:val="center"/>
          </w:tcPr>
          <w:p>
            <w:pPr>
              <w:widowControl/>
              <w:jc w:val="left"/>
              <w:rPr>
                <w:rFonts w:ascii="仿宋_GB2312" w:eastAsia="仿宋_GB2312"/>
                <w:spacing w:val="10"/>
                <w:sz w:val="24"/>
                <w:szCs w:val="24"/>
              </w:rPr>
            </w:pPr>
          </w:p>
        </w:tc>
        <w:tc>
          <w:tcPr>
            <w:tcW w:w="567" w:type="dxa"/>
            <w:vMerge w:val="continue"/>
            <w:tcBorders>
              <w:top w:val="single" w:color="auto" w:sz="4" w:space="0"/>
              <w:left w:val="single" w:color="auto" w:sz="2" w:space="0"/>
              <w:bottom w:val="single" w:color="auto" w:sz="4" w:space="0"/>
              <w:right w:val="inset" w:color="auto" w:sz="6" w:space="0"/>
            </w:tcBorders>
            <w:vAlign w:val="center"/>
          </w:tcPr>
          <w:p>
            <w:pPr>
              <w:widowControl/>
              <w:jc w:val="left"/>
              <w:rPr>
                <w:rFonts w:ascii="仿宋_GB2312" w:eastAsia="仿宋_GB2312"/>
                <w:spacing w:val="10"/>
                <w:sz w:val="24"/>
                <w:szCs w:val="24"/>
              </w:rPr>
            </w:pPr>
          </w:p>
        </w:tc>
        <w:tc>
          <w:tcPr>
            <w:tcW w:w="1844" w:type="dxa"/>
            <w:tcBorders>
              <w:top w:val="single" w:color="auto" w:sz="4" w:space="0"/>
              <w:left w:val="single" w:color="auto" w:sz="2" w:space="0"/>
              <w:bottom w:val="inset" w:color="auto" w:sz="6" w:space="0"/>
              <w:right w:val="inset" w:color="auto" w:sz="6" w:space="0"/>
            </w:tcBorders>
            <w:vAlign w:val="center"/>
          </w:tcPr>
          <w:p>
            <w:pPr>
              <w:spacing w:line="0" w:lineRule="atLeast"/>
              <w:jc w:val="center"/>
              <w:rPr>
                <w:rFonts w:ascii="仿宋_GB2312" w:eastAsia="仿宋_GB2312"/>
                <w:spacing w:val="10"/>
                <w:sz w:val="24"/>
                <w:szCs w:val="24"/>
              </w:rPr>
            </w:pPr>
            <w:r>
              <w:rPr>
                <w:rFonts w:hint="eastAsia" w:ascii="仿宋_GB2312" w:eastAsia="仿宋_GB2312"/>
                <w:spacing w:val="10"/>
                <w:sz w:val="24"/>
                <w:szCs w:val="24"/>
              </w:rPr>
              <w:t>质量保障措施及方案</w:t>
            </w:r>
          </w:p>
        </w:tc>
        <w:tc>
          <w:tcPr>
            <w:tcW w:w="709" w:type="dxa"/>
            <w:tcBorders>
              <w:top w:val="inset" w:color="auto" w:sz="6" w:space="0"/>
              <w:left w:val="single" w:color="auto" w:sz="2" w:space="0"/>
              <w:bottom w:val="inset" w:color="auto" w:sz="6" w:space="0"/>
              <w:right w:val="inset" w:color="auto" w:sz="6" w:space="0"/>
            </w:tcBorders>
            <w:vAlign w:val="center"/>
          </w:tcPr>
          <w:p>
            <w:pPr>
              <w:spacing w:line="0" w:lineRule="atLeast"/>
              <w:jc w:val="center"/>
              <w:rPr>
                <w:rFonts w:ascii="仿宋_GB2312" w:eastAsia="仿宋_GB2312"/>
                <w:spacing w:val="10"/>
                <w:sz w:val="24"/>
                <w:szCs w:val="24"/>
              </w:rPr>
            </w:pPr>
            <w:r>
              <w:rPr>
                <w:rFonts w:hint="eastAsia" w:ascii="仿宋_GB2312" w:eastAsia="仿宋_GB2312"/>
                <w:spacing w:val="10"/>
                <w:sz w:val="24"/>
                <w:szCs w:val="24"/>
              </w:rPr>
              <w:t>10</w:t>
            </w:r>
          </w:p>
        </w:tc>
        <w:tc>
          <w:tcPr>
            <w:tcW w:w="5388" w:type="dxa"/>
            <w:tcBorders>
              <w:top w:val="inset" w:color="auto" w:sz="6" w:space="0"/>
              <w:left w:val="single" w:color="auto" w:sz="2" w:space="0"/>
              <w:bottom w:val="inset" w:color="auto" w:sz="6" w:space="0"/>
              <w:right w:val="inset" w:color="auto" w:sz="6" w:space="0"/>
            </w:tcBorders>
            <w:vAlign w:val="center"/>
          </w:tcPr>
          <w:p>
            <w:pPr>
              <w:spacing w:line="0" w:lineRule="atLeast"/>
              <w:jc w:val="left"/>
              <w:rPr>
                <w:rFonts w:ascii="仿宋_GB2312" w:eastAsia="仿宋_GB2312"/>
                <w:spacing w:val="10"/>
                <w:sz w:val="24"/>
                <w:szCs w:val="24"/>
              </w:rPr>
            </w:pPr>
            <w:r>
              <w:rPr>
                <w:rFonts w:hint="eastAsia" w:ascii="仿宋_GB2312" w:eastAsia="仿宋_GB2312"/>
                <w:spacing w:val="10"/>
                <w:sz w:val="24"/>
                <w:szCs w:val="24"/>
              </w:rPr>
              <w:t>对项目服务要求制定质量保障措施及方案，方案切合实际、完整、详实、可操作性强。</w:t>
            </w:r>
          </w:p>
          <w:p>
            <w:pPr>
              <w:wordWrap w:val="0"/>
              <w:jc w:val="left"/>
              <w:rPr>
                <w:rFonts w:hint="eastAsia" w:ascii="仿宋_GB2312" w:eastAsia="仿宋_GB2312"/>
                <w:sz w:val="24"/>
                <w:szCs w:val="24"/>
              </w:rPr>
            </w:pPr>
            <w:r>
              <w:rPr>
                <w:rFonts w:hint="eastAsia" w:ascii="仿宋_GB2312" w:eastAsia="仿宋_GB2312"/>
                <w:sz w:val="24"/>
                <w:szCs w:val="24"/>
              </w:rPr>
              <w:t xml:space="preserve">（1）质量保障措施及方案内容全面； </w:t>
            </w:r>
          </w:p>
          <w:p>
            <w:pPr>
              <w:wordWrap w:val="0"/>
              <w:rPr>
                <w:rFonts w:hint="eastAsia" w:ascii="仿宋_GB2312" w:eastAsia="仿宋_GB2312"/>
                <w:sz w:val="24"/>
                <w:szCs w:val="24"/>
              </w:rPr>
            </w:pPr>
            <w:r>
              <w:rPr>
                <w:rFonts w:hint="eastAsia" w:ascii="仿宋_GB2312" w:eastAsia="仿宋_GB2312"/>
                <w:sz w:val="24"/>
                <w:szCs w:val="24"/>
              </w:rPr>
              <w:t xml:space="preserve">（2）质量保障措施及方案内容具体，表达清晰、完整、严谨； </w:t>
            </w:r>
          </w:p>
          <w:p>
            <w:pPr>
              <w:wordWrap w:val="0"/>
              <w:rPr>
                <w:rFonts w:hint="eastAsia" w:ascii="仿宋_GB2312" w:eastAsia="仿宋_GB2312"/>
                <w:sz w:val="24"/>
                <w:szCs w:val="24"/>
              </w:rPr>
            </w:pPr>
            <w:r>
              <w:rPr>
                <w:rFonts w:hint="eastAsia" w:ascii="仿宋_GB2312" w:eastAsia="仿宋_GB2312"/>
                <w:sz w:val="24"/>
                <w:szCs w:val="24"/>
              </w:rPr>
              <w:t xml:space="preserve">（3）质量保障措施及方案内容针对性强； </w:t>
            </w:r>
          </w:p>
          <w:p>
            <w:pPr>
              <w:wordWrap w:val="0"/>
              <w:rPr>
                <w:rFonts w:hint="eastAsia" w:ascii="仿宋_GB2312" w:eastAsia="仿宋_GB2312"/>
                <w:sz w:val="24"/>
                <w:szCs w:val="24"/>
              </w:rPr>
            </w:pPr>
            <w:r>
              <w:rPr>
                <w:rFonts w:hint="eastAsia" w:ascii="仿宋_GB2312" w:eastAsia="仿宋_GB2312"/>
                <w:sz w:val="24"/>
                <w:szCs w:val="24"/>
              </w:rPr>
              <w:t xml:space="preserve">（4）质量保障措施及方案内容先进，科学合理； </w:t>
            </w:r>
          </w:p>
          <w:p>
            <w:pPr>
              <w:wordWrap w:val="0"/>
              <w:rPr>
                <w:rFonts w:hint="eastAsia" w:ascii="仿宋_GB2312" w:eastAsia="仿宋_GB2312"/>
                <w:sz w:val="24"/>
                <w:szCs w:val="24"/>
              </w:rPr>
            </w:pPr>
            <w:r>
              <w:rPr>
                <w:rFonts w:hint="eastAsia" w:ascii="仿宋_GB2312" w:eastAsia="仿宋_GB2312"/>
                <w:sz w:val="24"/>
                <w:szCs w:val="24"/>
              </w:rPr>
              <w:t>（5）质量保障措施及方案内容可操作性强。</w:t>
            </w:r>
          </w:p>
          <w:p>
            <w:pPr>
              <w:wordWrap w:val="0"/>
              <w:rPr>
                <w:rFonts w:hint="eastAsia" w:ascii="仿宋_GB2312" w:eastAsia="仿宋_GB2312"/>
                <w:sz w:val="24"/>
                <w:szCs w:val="24"/>
              </w:rPr>
            </w:pPr>
            <w:r>
              <w:rPr>
                <w:rFonts w:hint="eastAsia" w:ascii="仿宋_GB2312" w:eastAsia="仿宋_GB2312"/>
                <w:sz w:val="24"/>
                <w:szCs w:val="24"/>
              </w:rPr>
              <w:t>评审标准：满足以上五项要求得5分，满足以上四项要求得4分，满足以上三项要求得3分，满足以上二项要求得2分，满足以上一项要求得1分，其它情况不得分。在此基础上，评委根据各投标人的具体响应内容进行综合评价：评审为优的加5分，评审为良的加3分，评审为中的加 1分，评审为差的得0分。</w:t>
            </w:r>
          </w:p>
          <w:p>
            <w:pPr>
              <w:spacing w:line="0" w:lineRule="atLeast"/>
              <w:jc w:val="left"/>
              <w:rPr>
                <w:rFonts w:ascii="仿宋_GB2312" w:eastAsia="仿宋_GB2312"/>
                <w:spacing w:val="10"/>
                <w:sz w:val="24"/>
                <w:szCs w:val="24"/>
              </w:rPr>
            </w:pPr>
            <w:r>
              <w:rPr>
                <w:rFonts w:hint="eastAsia" w:ascii="仿宋_GB2312" w:eastAsia="仿宋_GB2312"/>
                <w:sz w:val="24"/>
                <w:szCs w:val="24"/>
              </w:rPr>
              <w:t>备注：评审为差，需书面说明理由，并记录在档。</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60" w:hRule="atLeast"/>
          <w:jc w:val="center"/>
        </w:trPr>
        <w:tc>
          <w:tcPr>
            <w:tcW w:w="576" w:type="dxa"/>
            <w:vMerge w:val="continue"/>
            <w:tcBorders>
              <w:top w:val="single" w:color="auto" w:sz="4" w:space="0"/>
              <w:left w:val="inset" w:color="auto" w:sz="6" w:space="0"/>
              <w:bottom w:val="single" w:color="auto" w:sz="4" w:space="0"/>
              <w:right w:val="inset" w:color="auto" w:sz="6" w:space="0"/>
            </w:tcBorders>
            <w:vAlign w:val="center"/>
          </w:tcPr>
          <w:p>
            <w:pPr>
              <w:widowControl/>
              <w:jc w:val="left"/>
              <w:rPr>
                <w:rFonts w:ascii="仿宋_GB2312" w:eastAsia="仿宋_GB2312"/>
                <w:spacing w:val="10"/>
                <w:sz w:val="24"/>
                <w:szCs w:val="24"/>
              </w:rPr>
            </w:pPr>
          </w:p>
        </w:tc>
        <w:tc>
          <w:tcPr>
            <w:tcW w:w="567" w:type="dxa"/>
            <w:vMerge w:val="continue"/>
            <w:tcBorders>
              <w:top w:val="single" w:color="auto" w:sz="4" w:space="0"/>
              <w:left w:val="single" w:color="auto" w:sz="2" w:space="0"/>
              <w:bottom w:val="single" w:color="auto" w:sz="4" w:space="0"/>
              <w:right w:val="inset" w:color="auto" w:sz="6" w:space="0"/>
            </w:tcBorders>
            <w:vAlign w:val="center"/>
          </w:tcPr>
          <w:p>
            <w:pPr>
              <w:widowControl/>
              <w:jc w:val="left"/>
              <w:rPr>
                <w:rFonts w:ascii="仿宋_GB2312" w:eastAsia="仿宋_GB2312"/>
                <w:spacing w:val="10"/>
                <w:sz w:val="24"/>
                <w:szCs w:val="24"/>
              </w:rPr>
            </w:pPr>
          </w:p>
        </w:tc>
        <w:tc>
          <w:tcPr>
            <w:tcW w:w="1844" w:type="dxa"/>
            <w:tcBorders>
              <w:top w:val="single" w:color="auto" w:sz="4" w:space="0"/>
              <w:left w:val="single" w:color="auto" w:sz="2" w:space="0"/>
              <w:bottom w:val="inset" w:color="auto" w:sz="6" w:space="0"/>
              <w:right w:val="inset" w:color="auto" w:sz="6" w:space="0"/>
            </w:tcBorders>
            <w:vAlign w:val="center"/>
          </w:tcPr>
          <w:p>
            <w:pPr>
              <w:spacing w:line="0" w:lineRule="atLeast"/>
              <w:jc w:val="center"/>
              <w:rPr>
                <w:rFonts w:ascii="仿宋_GB2312" w:eastAsia="仿宋_GB2312"/>
                <w:spacing w:val="10"/>
                <w:sz w:val="24"/>
                <w:szCs w:val="24"/>
              </w:rPr>
            </w:pPr>
            <w:r>
              <w:rPr>
                <w:rFonts w:hint="eastAsia" w:ascii="仿宋_GB2312" w:eastAsia="仿宋_GB2312"/>
                <w:spacing w:val="10"/>
                <w:sz w:val="24"/>
                <w:szCs w:val="24"/>
              </w:rPr>
              <w:t>项目完成（服务期满）后的服务承诺</w:t>
            </w:r>
          </w:p>
        </w:tc>
        <w:tc>
          <w:tcPr>
            <w:tcW w:w="709" w:type="dxa"/>
            <w:tcBorders>
              <w:top w:val="inset" w:color="auto" w:sz="6" w:space="0"/>
              <w:left w:val="single" w:color="auto" w:sz="2" w:space="0"/>
              <w:bottom w:val="inset" w:color="auto" w:sz="6" w:space="0"/>
              <w:right w:val="inset" w:color="auto" w:sz="6" w:space="0"/>
            </w:tcBorders>
            <w:vAlign w:val="center"/>
          </w:tcPr>
          <w:p>
            <w:pPr>
              <w:spacing w:line="0" w:lineRule="atLeast"/>
              <w:jc w:val="center"/>
              <w:rPr>
                <w:rFonts w:ascii="仿宋_GB2312" w:eastAsia="仿宋_GB2312"/>
                <w:spacing w:val="10"/>
                <w:sz w:val="24"/>
                <w:szCs w:val="24"/>
              </w:rPr>
            </w:pPr>
            <w:r>
              <w:rPr>
                <w:rFonts w:hint="eastAsia" w:ascii="仿宋_GB2312" w:eastAsia="仿宋_GB2312"/>
                <w:spacing w:val="10"/>
                <w:sz w:val="24"/>
                <w:szCs w:val="24"/>
              </w:rPr>
              <w:t>5</w:t>
            </w:r>
          </w:p>
        </w:tc>
        <w:tc>
          <w:tcPr>
            <w:tcW w:w="5388" w:type="dxa"/>
            <w:tcBorders>
              <w:top w:val="inset" w:color="auto" w:sz="6" w:space="0"/>
              <w:left w:val="single" w:color="auto" w:sz="2" w:space="0"/>
              <w:bottom w:val="inset" w:color="auto" w:sz="6" w:space="0"/>
              <w:right w:val="inset" w:color="auto" w:sz="6" w:space="0"/>
            </w:tcBorders>
            <w:vAlign w:val="center"/>
          </w:tcPr>
          <w:p>
            <w:pPr>
              <w:spacing w:line="0" w:lineRule="atLeast"/>
              <w:jc w:val="left"/>
              <w:rPr>
                <w:rFonts w:ascii="仿宋_GB2312" w:eastAsia="仿宋_GB2312"/>
                <w:spacing w:val="10"/>
                <w:sz w:val="24"/>
                <w:szCs w:val="24"/>
              </w:rPr>
            </w:pPr>
            <w:r>
              <w:rPr>
                <w:rFonts w:hint="eastAsia" w:ascii="仿宋_GB2312" w:eastAsia="仿宋_GB2312"/>
                <w:spacing w:val="10"/>
                <w:sz w:val="24"/>
                <w:szCs w:val="24"/>
              </w:rPr>
              <w:t>提供承诺（格式自拟），“承诺提供项目完成后的具体服务措施及服务，项目完成后发现问题的改进方法的流程控制。”得5分，未提供承诺或承诺内容不满足要求不得分。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46" w:hRule="atLeast"/>
          <w:jc w:val="center"/>
        </w:trPr>
        <w:tc>
          <w:tcPr>
            <w:tcW w:w="576" w:type="dxa"/>
            <w:vMerge w:val="continue"/>
            <w:tcBorders>
              <w:top w:val="single" w:color="auto" w:sz="4" w:space="0"/>
              <w:left w:val="inset" w:color="auto" w:sz="6" w:space="0"/>
              <w:bottom w:val="single" w:color="auto" w:sz="4" w:space="0"/>
              <w:right w:val="inset" w:color="auto" w:sz="6" w:space="0"/>
            </w:tcBorders>
            <w:vAlign w:val="center"/>
          </w:tcPr>
          <w:p>
            <w:pPr>
              <w:widowControl/>
              <w:jc w:val="left"/>
              <w:rPr>
                <w:rFonts w:ascii="仿宋_GB2312" w:eastAsia="仿宋_GB2312"/>
                <w:spacing w:val="10"/>
                <w:sz w:val="24"/>
                <w:szCs w:val="24"/>
              </w:rPr>
            </w:pPr>
          </w:p>
        </w:tc>
        <w:tc>
          <w:tcPr>
            <w:tcW w:w="567" w:type="dxa"/>
            <w:vMerge w:val="continue"/>
            <w:tcBorders>
              <w:top w:val="single" w:color="auto" w:sz="4" w:space="0"/>
              <w:left w:val="single" w:color="auto" w:sz="2" w:space="0"/>
              <w:bottom w:val="single" w:color="auto" w:sz="4" w:space="0"/>
              <w:right w:val="inset" w:color="auto" w:sz="6" w:space="0"/>
            </w:tcBorders>
            <w:vAlign w:val="center"/>
          </w:tcPr>
          <w:p>
            <w:pPr>
              <w:widowControl/>
              <w:jc w:val="left"/>
              <w:rPr>
                <w:rFonts w:ascii="仿宋_GB2312" w:eastAsia="仿宋_GB2312"/>
                <w:spacing w:val="10"/>
                <w:sz w:val="24"/>
                <w:szCs w:val="24"/>
              </w:rPr>
            </w:pPr>
          </w:p>
        </w:tc>
        <w:tc>
          <w:tcPr>
            <w:tcW w:w="1844" w:type="dxa"/>
            <w:tcBorders>
              <w:top w:val="single" w:color="auto" w:sz="4" w:space="0"/>
              <w:left w:val="single" w:color="auto" w:sz="2" w:space="0"/>
              <w:bottom w:val="inset" w:color="auto" w:sz="6" w:space="0"/>
              <w:right w:val="inset" w:color="auto" w:sz="6" w:space="0"/>
            </w:tcBorders>
            <w:vAlign w:val="center"/>
          </w:tcPr>
          <w:p>
            <w:pPr>
              <w:spacing w:line="0" w:lineRule="atLeast"/>
              <w:jc w:val="center"/>
              <w:rPr>
                <w:rFonts w:ascii="仿宋_GB2312" w:eastAsia="仿宋_GB2312"/>
                <w:spacing w:val="10"/>
                <w:sz w:val="24"/>
                <w:szCs w:val="24"/>
              </w:rPr>
            </w:pPr>
            <w:r>
              <w:rPr>
                <w:rFonts w:hint="eastAsia" w:ascii="仿宋_GB2312" w:eastAsia="仿宋_GB2312"/>
                <w:spacing w:val="10"/>
                <w:sz w:val="24"/>
                <w:szCs w:val="24"/>
              </w:rPr>
              <w:t>违约承诺</w:t>
            </w:r>
          </w:p>
        </w:tc>
        <w:tc>
          <w:tcPr>
            <w:tcW w:w="709" w:type="dxa"/>
            <w:tcBorders>
              <w:top w:val="inset" w:color="auto" w:sz="6" w:space="0"/>
              <w:left w:val="single" w:color="auto" w:sz="2" w:space="0"/>
              <w:bottom w:val="inset" w:color="auto" w:sz="6" w:space="0"/>
              <w:right w:val="inset" w:color="auto" w:sz="6" w:space="0"/>
            </w:tcBorders>
            <w:vAlign w:val="center"/>
          </w:tcPr>
          <w:p>
            <w:pPr>
              <w:spacing w:line="0" w:lineRule="atLeast"/>
              <w:jc w:val="center"/>
              <w:rPr>
                <w:rFonts w:ascii="仿宋_GB2312" w:eastAsia="仿宋_GB2312"/>
                <w:spacing w:val="10"/>
                <w:sz w:val="24"/>
                <w:szCs w:val="24"/>
              </w:rPr>
            </w:pPr>
            <w:r>
              <w:rPr>
                <w:rFonts w:hint="eastAsia" w:ascii="仿宋_GB2312" w:eastAsia="仿宋_GB2312"/>
                <w:spacing w:val="10"/>
                <w:sz w:val="24"/>
                <w:szCs w:val="24"/>
              </w:rPr>
              <w:t>5</w:t>
            </w:r>
          </w:p>
        </w:tc>
        <w:tc>
          <w:tcPr>
            <w:tcW w:w="5388" w:type="dxa"/>
            <w:tcBorders>
              <w:top w:val="inset" w:color="auto" w:sz="6" w:space="0"/>
              <w:left w:val="single" w:color="auto" w:sz="2" w:space="0"/>
              <w:bottom w:val="inset" w:color="auto" w:sz="6" w:space="0"/>
              <w:right w:val="inset" w:color="auto" w:sz="6" w:space="0"/>
            </w:tcBorders>
            <w:vAlign w:val="center"/>
          </w:tcPr>
          <w:p>
            <w:pPr>
              <w:spacing w:line="0" w:lineRule="atLeast"/>
              <w:jc w:val="left"/>
              <w:rPr>
                <w:rFonts w:ascii="仿宋_GB2312" w:eastAsia="仿宋_GB2312"/>
                <w:spacing w:val="10"/>
                <w:sz w:val="24"/>
                <w:szCs w:val="24"/>
              </w:rPr>
            </w:pPr>
            <w:r>
              <w:rPr>
                <w:rFonts w:hint="eastAsia" w:ascii="仿宋_GB2312" w:eastAsia="仿宋_GB2312"/>
                <w:spacing w:val="10"/>
                <w:sz w:val="24"/>
                <w:szCs w:val="24"/>
              </w:rPr>
              <w:t>提供承诺函（格式自拟），“承诺按采购人要求，全面履行本服务项目的各项内容，并保证项目实施全过程不与投标文件（包括且不限于技术部分）存在矛盾或降低标准的情况”。提供承诺的，得5分，未承诺或未全部承诺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07" w:hRule="atLeast"/>
          <w:jc w:val="center"/>
        </w:trPr>
        <w:tc>
          <w:tcPr>
            <w:tcW w:w="576" w:type="dxa"/>
            <w:vMerge w:val="restart"/>
            <w:tcBorders>
              <w:top w:val="single" w:color="auto" w:sz="2" w:space="0"/>
              <w:left w:val="inset" w:color="auto" w:sz="6" w:space="0"/>
              <w:bottom w:val="inset" w:color="auto" w:sz="6" w:space="0"/>
              <w:right w:val="inset" w:color="auto" w:sz="6" w:space="0"/>
            </w:tcBorders>
            <w:vAlign w:val="center"/>
          </w:tcPr>
          <w:p>
            <w:pPr>
              <w:spacing w:line="0" w:lineRule="atLeast"/>
              <w:jc w:val="center"/>
              <w:rPr>
                <w:rFonts w:ascii="仿宋_GB2312" w:eastAsia="仿宋_GB2312"/>
                <w:spacing w:val="10"/>
                <w:sz w:val="24"/>
                <w:szCs w:val="24"/>
              </w:rPr>
            </w:pPr>
            <w:r>
              <w:rPr>
                <w:rFonts w:hint="eastAsia" w:ascii="仿宋_GB2312" w:eastAsia="仿宋_GB2312"/>
                <w:spacing w:val="10"/>
                <w:sz w:val="24"/>
                <w:szCs w:val="24"/>
              </w:rPr>
              <w:t>三</w:t>
            </w:r>
          </w:p>
        </w:tc>
        <w:tc>
          <w:tcPr>
            <w:tcW w:w="567" w:type="dxa"/>
            <w:vMerge w:val="restart"/>
            <w:tcBorders>
              <w:top w:val="single" w:color="auto" w:sz="2" w:space="0"/>
              <w:left w:val="single" w:color="auto" w:sz="2" w:space="0"/>
              <w:bottom w:val="inset" w:color="auto" w:sz="6" w:space="0"/>
              <w:right w:val="inset" w:color="auto" w:sz="6" w:space="0"/>
            </w:tcBorders>
            <w:vAlign w:val="center"/>
          </w:tcPr>
          <w:p>
            <w:pPr>
              <w:spacing w:line="0" w:lineRule="atLeast"/>
              <w:jc w:val="center"/>
              <w:rPr>
                <w:rFonts w:ascii="仿宋_GB2312" w:eastAsia="仿宋_GB2312"/>
                <w:spacing w:val="10"/>
                <w:sz w:val="24"/>
                <w:szCs w:val="24"/>
              </w:rPr>
            </w:pPr>
            <w:r>
              <w:rPr>
                <w:rFonts w:hint="eastAsia" w:ascii="仿宋_GB2312" w:eastAsia="仿宋_GB2312"/>
                <w:spacing w:val="10"/>
                <w:sz w:val="24"/>
                <w:szCs w:val="24"/>
              </w:rPr>
              <w:t>综合实力</w:t>
            </w:r>
          </w:p>
          <w:p>
            <w:pPr>
              <w:spacing w:line="0" w:lineRule="atLeast"/>
              <w:jc w:val="center"/>
              <w:rPr>
                <w:rFonts w:hint="eastAsia" w:ascii="仿宋_GB2312" w:eastAsia="仿宋_GB2312"/>
                <w:spacing w:val="10"/>
                <w:sz w:val="24"/>
                <w:szCs w:val="24"/>
              </w:rPr>
            </w:pPr>
            <w:r>
              <w:rPr>
                <w:rFonts w:hint="eastAsia" w:ascii="仿宋_GB2312" w:eastAsia="仿宋_GB2312"/>
                <w:spacing w:val="10"/>
                <w:sz w:val="24"/>
                <w:szCs w:val="24"/>
              </w:rPr>
              <w:t>部分</w:t>
            </w:r>
          </w:p>
          <w:p>
            <w:pPr>
              <w:spacing w:line="0" w:lineRule="atLeast"/>
              <w:jc w:val="center"/>
              <w:rPr>
                <w:rFonts w:ascii="仿宋_GB2312" w:eastAsia="仿宋_GB2312"/>
                <w:spacing w:val="10"/>
                <w:sz w:val="24"/>
                <w:szCs w:val="24"/>
              </w:rPr>
            </w:pPr>
            <w:r>
              <w:rPr>
                <w:rFonts w:hint="eastAsia" w:ascii="仿宋_GB2312" w:eastAsia="仿宋_GB2312"/>
                <w:spacing w:val="10"/>
                <w:sz w:val="24"/>
                <w:szCs w:val="24"/>
              </w:rPr>
              <w:t>40分</w:t>
            </w:r>
          </w:p>
        </w:tc>
        <w:tc>
          <w:tcPr>
            <w:tcW w:w="1844" w:type="dxa"/>
            <w:tcBorders>
              <w:top w:val="single" w:color="auto" w:sz="4" w:space="0"/>
              <w:left w:val="single" w:color="auto" w:sz="2" w:space="0"/>
              <w:bottom w:val="inset" w:color="auto" w:sz="6" w:space="0"/>
              <w:right w:val="inset" w:color="auto" w:sz="6" w:space="0"/>
            </w:tcBorders>
            <w:vAlign w:val="center"/>
          </w:tcPr>
          <w:p>
            <w:pPr>
              <w:widowControl/>
              <w:spacing w:before="100" w:beforeAutospacing="1" w:after="100" w:afterAutospacing="1" w:line="0" w:lineRule="atLeast"/>
              <w:jc w:val="center"/>
              <w:rPr>
                <w:rFonts w:ascii="仿宋_GB2312" w:eastAsia="仿宋_GB2312"/>
                <w:spacing w:val="10"/>
                <w:sz w:val="24"/>
                <w:szCs w:val="24"/>
              </w:rPr>
            </w:pPr>
            <w:r>
              <w:rPr>
                <w:rFonts w:hint="eastAsia" w:ascii="仿宋_GB2312" w:eastAsia="仿宋_GB2312"/>
                <w:spacing w:val="10"/>
                <w:sz w:val="24"/>
                <w:szCs w:val="24"/>
              </w:rPr>
              <w:t>同类项目业绩</w:t>
            </w:r>
          </w:p>
        </w:tc>
        <w:tc>
          <w:tcPr>
            <w:tcW w:w="709" w:type="dxa"/>
            <w:tcBorders>
              <w:top w:val="inset" w:color="auto" w:sz="6" w:space="0"/>
              <w:left w:val="single" w:color="auto" w:sz="2" w:space="0"/>
              <w:bottom w:val="inset" w:color="auto" w:sz="6" w:space="0"/>
              <w:right w:val="inset" w:color="auto" w:sz="6" w:space="0"/>
            </w:tcBorders>
            <w:vAlign w:val="center"/>
          </w:tcPr>
          <w:p>
            <w:pPr>
              <w:spacing w:line="0" w:lineRule="atLeast"/>
              <w:jc w:val="center"/>
              <w:rPr>
                <w:rFonts w:ascii="仿宋_GB2312" w:eastAsia="仿宋_GB2312"/>
                <w:spacing w:val="10"/>
                <w:sz w:val="24"/>
                <w:szCs w:val="24"/>
              </w:rPr>
            </w:pPr>
            <w:r>
              <w:rPr>
                <w:rFonts w:hint="eastAsia" w:ascii="仿宋_GB2312" w:eastAsia="仿宋_GB2312"/>
                <w:spacing w:val="10"/>
                <w:sz w:val="24"/>
                <w:szCs w:val="24"/>
              </w:rPr>
              <w:t>12</w:t>
            </w:r>
          </w:p>
        </w:tc>
        <w:tc>
          <w:tcPr>
            <w:tcW w:w="5388" w:type="dxa"/>
            <w:tcBorders>
              <w:top w:val="inset" w:color="auto" w:sz="6" w:space="0"/>
              <w:left w:val="single" w:color="auto" w:sz="2" w:space="0"/>
              <w:bottom w:val="inset" w:color="auto" w:sz="6" w:space="0"/>
              <w:right w:val="inset" w:color="auto" w:sz="6" w:space="0"/>
            </w:tcBorders>
            <w:vAlign w:val="center"/>
          </w:tcPr>
          <w:p>
            <w:pPr>
              <w:spacing w:line="0" w:lineRule="atLeast"/>
              <w:jc w:val="left"/>
              <w:rPr>
                <w:rFonts w:ascii="仿宋_GB2312" w:eastAsia="仿宋_GB2312"/>
                <w:spacing w:val="10"/>
                <w:sz w:val="24"/>
                <w:szCs w:val="24"/>
              </w:rPr>
            </w:pPr>
            <w:r>
              <w:rPr>
                <w:rFonts w:hint="eastAsia" w:ascii="仿宋_GB2312" w:eastAsia="仿宋_GB2312"/>
                <w:spacing w:val="10"/>
                <w:sz w:val="24"/>
                <w:szCs w:val="24"/>
              </w:rPr>
              <w:t>投标单位近三年承接过同类项目经验的，一个得2分，满分12分，没有不得分。</w:t>
            </w:r>
          </w:p>
          <w:p>
            <w:pPr>
              <w:spacing w:line="0" w:lineRule="atLeast"/>
              <w:jc w:val="left"/>
              <w:rPr>
                <w:rFonts w:ascii="仿宋_GB2312" w:eastAsia="仿宋_GB2312"/>
                <w:sz w:val="24"/>
                <w:szCs w:val="24"/>
              </w:rPr>
            </w:pPr>
            <w:r>
              <w:rPr>
                <w:rFonts w:hint="eastAsia" w:ascii="仿宋_GB2312" w:eastAsia="仿宋_GB2312"/>
                <w:spacing w:val="10"/>
                <w:sz w:val="24"/>
                <w:szCs w:val="24"/>
              </w:rPr>
              <w:t>须提供合同关键页扫描件，未提供得0分。合同关键页须体现合同甲乙双方、项目名称、项目内容、委托时间及合同甲乙双方签章等关键信息。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95" w:hRule="atLeast"/>
          <w:jc w:val="center"/>
        </w:trPr>
        <w:tc>
          <w:tcPr>
            <w:tcW w:w="576" w:type="dxa"/>
            <w:vMerge w:val="continue"/>
            <w:tcBorders>
              <w:top w:val="single" w:color="auto" w:sz="2" w:space="0"/>
              <w:left w:val="inset" w:color="auto" w:sz="6" w:space="0"/>
              <w:bottom w:val="inset" w:color="auto" w:sz="6" w:space="0"/>
              <w:right w:val="inset" w:color="auto" w:sz="6" w:space="0"/>
            </w:tcBorders>
            <w:vAlign w:val="center"/>
          </w:tcPr>
          <w:p>
            <w:pPr>
              <w:widowControl/>
              <w:jc w:val="left"/>
              <w:rPr>
                <w:rFonts w:ascii="仿宋_GB2312" w:eastAsia="仿宋_GB2312"/>
                <w:spacing w:val="10"/>
                <w:sz w:val="24"/>
                <w:szCs w:val="24"/>
              </w:rPr>
            </w:pPr>
          </w:p>
        </w:tc>
        <w:tc>
          <w:tcPr>
            <w:tcW w:w="567" w:type="dxa"/>
            <w:vMerge w:val="continue"/>
            <w:tcBorders>
              <w:top w:val="single" w:color="auto" w:sz="2" w:space="0"/>
              <w:left w:val="single" w:color="auto" w:sz="2" w:space="0"/>
              <w:bottom w:val="inset" w:color="auto" w:sz="6" w:space="0"/>
              <w:right w:val="inset" w:color="auto" w:sz="6" w:space="0"/>
            </w:tcBorders>
            <w:vAlign w:val="center"/>
          </w:tcPr>
          <w:p>
            <w:pPr>
              <w:widowControl/>
              <w:jc w:val="left"/>
              <w:rPr>
                <w:rFonts w:ascii="仿宋_GB2312" w:eastAsia="仿宋_GB2312"/>
                <w:spacing w:val="10"/>
                <w:sz w:val="24"/>
                <w:szCs w:val="24"/>
              </w:rPr>
            </w:pPr>
          </w:p>
        </w:tc>
        <w:tc>
          <w:tcPr>
            <w:tcW w:w="1844" w:type="dxa"/>
            <w:tcBorders>
              <w:top w:val="single" w:color="auto" w:sz="4" w:space="0"/>
              <w:left w:val="single" w:color="auto" w:sz="2" w:space="0"/>
              <w:bottom w:val="inset" w:color="auto" w:sz="6" w:space="0"/>
              <w:right w:val="inset" w:color="auto" w:sz="6" w:space="0"/>
            </w:tcBorders>
            <w:vAlign w:val="center"/>
          </w:tcPr>
          <w:p>
            <w:pPr>
              <w:widowControl/>
              <w:spacing w:before="100" w:beforeAutospacing="1" w:after="100" w:afterAutospacing="1" w:line="0" w:lineRule="atLeast"/>
              <w:jc w:val="center"/>
              <w:rPr>
                <w:rFonts w:ascii="仿宋_GB2312" w:eastAsia="仿宋_GB2312"/>
                <w:spacing w:val="10"/>
                <w:sz w:val="24"/>
                <w:szCs w:val="24"/>
              </w:rPr>
            </w:pPr>
            <w:r>
              <w:rPr>
                <w:rFonts w:hint="eastAsia" w:ascii="仿宋_GB2312" w:eastAsia="仿宋_GB2312"/>
                <w:spacing w:val="10"/>
                <w:sz w:val="24"/>
                <w:szCs w:val="24"/>
              </w:rPr>
              <w:t>获奖情况</w:t>
            </w:r>
          </w:p>
        </w:tc>
        <w:tc>
          <w:tcPr>
            <w:tcW w:w="709" w:type="dxa"/>
            <w:tcBorders>
              <w:top w:val="inset" w:color="auto" w:sz="6" w:space="0"/>
              <w:left w:val="single" w:color="auto" w:sz="2" w:space="0"/>
              <w:bottom w:val="inset" w:color="auto" w:sz="6" w:space="0"/>
              <w:right w:val="inset" w:color="auto" w:sz="6" w:space="0"/>
            </w:tcBorders>
            <w:vAlign w:val="center"/>
          </w:tcPr>
          <w:p>
            <w:pPr>
              <w:spacing w:line="0" w:lineRule="atLeast"/>
              <w:jc w:val="center"/>
              <w:rPr>
                <w:rFonts w:ascii="仿宋_GB2312" w:eastAsia="仿宋_GB2312"/>
                <w:spacing w:val="10"/>
                <w:sz w:val="24"/>
                <w:szCs w:val="24"/>
              </w:rPr>
            </w:pPr>
            <w:r>
              <w:rPr>
                <w:rFonts w:hint="eastAsia" w:ascii="仿宋_GB2312" w:eastAsia="仿宋_GB2312"/>
                <w:spacing w:val="10"/>
                <w:sz w:val="24"/>
                <w:szCs w:val="24"/>
              </w:rPr>
              <w:t>9</w:t>
            </w:r>
          </w:p>
        </w:tc>
        <w:tc>
          <w:tcPr>
            <w:tcW w:w="5388" w:type="dxa"/>
            <w:tcBorders>
              <w:top w:val="inset" w:color="auto" w:sz="6" w:space="0"/>
              <w:left w:val="single" w:color="auto" w:sz="2" w:space="0"/>
              <w:bottom w:val="inset" w:color="auto" w:sz="6" w:space="0"/>
              <w:right w:val="inset" w:color="auto" w:sz="6" w:space="0"/>
            </w:tcBorders>
            <w:vAlign w:val="center"/>
          </w:tcPr>
          <w:p>
            <w:pPr>
              <w:spacing w:line="0" w:lineRule="atLeast"/>
              <w:jc w:val="left"/>
              <w:rPr>
                <w:rFonts w:ascii="仿宋_GB2312" w:eastAsia="仿宋_GB2312"/>
                <w:spacing w:val="10"/>
                <w:sz w:val="24"/>
                <w:szCs w:val="24"/>
              </w:rPr>
            </w:pPr>
            <w:r>
              <w:rPr>
                <w:rFonts w:hint="eastAsia" w:ascii="仿宋_GB2312" w:eastAsia="仿宋_GB2312"/>
                <w:spacing w:val="10"/>
                <w:sz w:val="24"/>
                <w:szCs w:val="24"/>
              </w:rPr>
              <w:t>近5年内，投标人获得新闻宣传、影视等行业领域的获奖证书，颁发单位为市级以上政府或部门，每提供一个有效证明文件得3分，最高得9分。</w:t>
            </w:r>
          </w:p>
          <w:p>
            <w:pPr>
              <w:spacing w:line="0" w:lineRule="atLeast"/>
              <w:jc w:val="left"/>
              <w:rPr>
                <w:rFonts w:hint="eastAsia" w:ascii="仿宋_GB2312" w:eastAsia="仿宋_GB2312"/>
                <w:spacing w:val="10"/>
                <w:sz w:val="24"/>
                <w:szCs w:val="24"/>
              </w:rPr>
            </w:pPr>
            <w:r>
              <w:rPr>
                <w:rFonts w:hint="eastAsia" w:ascii="仿宋_GB2312" w:eastAsia="仿宋_GB2312"/>
                <w:spacing w:val="10"/>
                <w:sz w:val="24"/>
                <w:szCs w:val="24"/>
              </w:rPr>
              <w:t>评分依据：</w:t>
            </w:r>
          </w:p>
          <w:p>
            <w:pPr>
              <w:spacing w:line="0" w:lineRule="atLeast"/>
              <w:jc w:val="left"/>
              <w:rPr>
                <w:rFonts w:ascii="仿宋_GB2312" w:eastAsia="仿宋_GB2312"/>
                <w:spacing w:val="10"/>
                <w:sz w:val="24"/>
                <w:szCs w:val="24"/>
              </w:rPr>
            </w:pPr>
            <w:r>
              <w:rPr>
                <w:rFonts w:hint="eastAsia" w:ascii="仿宋_GB2312" w:eastAsia="仿宋_GB2312"/>
                <w:spacing w:val="10"/>
                <w:sz w:val="24"/>
                <w:szCs w:val="24"/>
              </w:rPr>
              <w:t>提供相关获奖证明文件扫描件加盖公章，原件备查，未按要求提供或提供不清晰导致专家无法判断的不得分。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 w:hRule="atLeast"/>
          <w:jc w:val="center"/>
        </w:trPr>
        <w:tc>
          <w:tcPr>
            <w:tcW w:w="576" w:type="dxa"/>
            <w:vMerge w:val="continue"/>
            <w:tcBorders>
              <w:top w:val="single" w:color="auto" w:sz="2" w:space="0"/>
              <w:left w:val="inset" w:color="auto" w:sz="6" w:space="0"/>
              <w:bottom w:val="inset" w:color="auto" w:sz="6" w:space="0"/>
              <w:right w:val="inset" w:color="auto" w:sz="6" w:space="0"/>
            </w:tcBorders>
            <w:vAlign w:val="center"/>
          </w:tcPr>
          <w:p>
            <w:pPr>
              <w:widowControl/>
              <w:jc w:val="left"/>
              <w:rPr>
                <w:rFonts w:ascii="仿宋_GB2312" w:eastAsia="仿宋_GB2312"/>
                <w:spacing w:val="10"/>
                <w:sz w:val="24"/>
                <w:szCs w:val="24"/>
              </w:rPr>
            </w:pPr>
          </w:p>
        </w:tc>
        <w:tc>
          <w:tcPr>
            <w:tcW w:w="567" w:type="dxa"/>
            <w:vMerge w:val="continue"/>
            <w:tcBorders>
              <w:top w:val="single" w:color="auto" w:sz="2" w:space="0"/>
              <w:left w:val="single" w:color="auto" w:sz="2" w:space="0"/>
              <w:bottom w:val="inset" w:color="auto" w:sz="6" w:space="0"/>
              <w:right w:val="inset" w:color="auto" w:sz="6" w:space="0"/>
            </w:tcBorders>
            <w:vAlign w:val="center"/>
          </w:tcPr>
          <w:p>
            <w:pPr>
              <w:widowControl/>
              <w:jc w:val="left"/>
              <w:rPr>
                <w:rFonts w:ascii="仿宋_GB2312" w:eastAsia="仿宋_GB2312"/>
                <w:spacing w:val="10"/>
                <w:sz w:val="24"/>
                <w:szCs w:val="24"/>
              </w:rPr>
            </w:pPr>
          </w:p>
        </w:tc>
        <w:tc>
          <w:tcPr>
            <w:tcW w:w="1844" w:type="dxa"/>
            <w:tcBorders>
              <w:top w:val="single" w:color="auto" w:sz="4" w:space="0"/>
              <w:left w:val="single" w:color="auto" w:sz="2" w:space="0"/>
              <w:bottom w:val="inset" w:color="auto" w:sz="6" w:space="0"/>
              <w:right w:val="inset" w:color="auto" w:sz="6" w:space="0"/>
            </w:tcBorders>
            <w:vAlign w:val="center"/>
          </w:tcPr>
          <w:p>
            <w:pPr>
              <w:widowControl/>
              <w:spacing w:line="0" w:lineRule="atLeast"/>
              <w:jc w:val="center"/>
              <w:rPr>
                <w:rFonts w:ascii="仿宋_GB2312" w:eastAsia="仿宋_GB2312"/>
                <w:spacing w:val="10"/>
                <w:sz w:val="24"/>
                <w:szCs w:val="24"/>
              </w:rPr>
            </w:pPr>
            <w:r>
              <w:rPr>
                <w:rFonts w:hint="eastAsia" w:ascii="仿宋_GB2312" w:eastAsia="仿宋_GB2312"/>
                <w:spacing w:val="10"/>
                <w:sz w:val="24"/>
                <w:szCs w:val="24"/>
              </w:rPr>
              <w:t>拟安排的项目负责人情况</w:t>
            </w:r>
          </w:p>
        </w:tc>
        <w:tc>
          <w:tcPr>
            <w:tcW w:w="709" w:type="dxa"/>
            <w:tcBorders>
              <w:top w:val="inset" w:color="auto" w:sz="6" w:space="0"/>
              <w:left w:val="single" w:color="auto" w:sz="2" w:space="0"/>
              <w:bottom w:val="inset" w:color="auto" w:sz="6" w:space="0"/>
              <w:right w:val="inset" w:color="auto" w:sz="6" w:space="0"/>
            </w:tcBorders>
            <w:vAlign w:val="center"/>
          </w:tcPr>
          <w:p>
            <w:pPr>
              <w:spacing w:line="0" w:lineRule="atLeast"/>
              <w:jc w:val="center"/>
              <w:rPr>
                <w:rFonts w:ascii="仿宋_GB2312" w:eastAsia="仿宋_GB2312"/>
                <w:spacing w:val="10"/>
                <w:sz w:val="24"/>
                <w:szCs w:val="24"/>
              </w:rPr>
            </w:pPr>
            <w:r>
              <w:rPr>
                <w:rFonts w:hint="eastAsia" w:ascii="仿宋_GB2312" w:eastAsia="仿宋_GB2312"/>
                <w:spacing w:val="10"/>
                <w:sz w:val="24"/>
                <w:szCs w:val="24"/>
              </w:rPr>
              <w:t>9</w:t>
            </w:r>
          </w:p>
        </w:tc>
        <w:tc>
          <w:tcPr>
            <w:tcW w:w="5388" w:type="dxa"/>
            <w:tcBorders>
              <w:top w:val="inset" w:color="auto" w:sz="6" w:space="0"/>
              <w:left w:val="single" w:color="auto" w:sz="2" w:space="0"/>
              <w:bottom w:val="inset" w:color="auto" w:sz="6" w:space="0"/>
              <w:right w:val="inset" w:color="auto" w:sz="6" w:space="0"/>
            </w:tcBorders>
            <w:vAlign w:val="center"/>
          </w:tcPr>
          <w:p>
            <w:pPr>
              <w:spacing w:line="0" w:lineRule="atLeast"/>
              <w:jc w:val="left"/>
              <w:rPr>
                <w:rFonts w:ascii="仿宋_GB2312" w:eastAsia="仿宋_GB2312"/>
                <w:spacing w:val="10"/>
                <w:sz w:val="24"/>
                <w:szCs w:val="24"/>
              </w:rPr>
            </w:pPr>
            <w:r>
              <w:rPr>
                <w:rFonts w:hint="eastAsia" w:ascii="仿宋_GB2312" w:eastAsia="仿宋_GB2312"/>
                <w:spacing w:val="10"/>
                <w:sz w:val="24"/>
                <w:szCs w:val="24"/>
              </w:rPr>
              <w:t>（1）拟安排的项目负责人具有</w:t>
            </w:r>
            <w:r>
              <w:rPr>
                <w:rFonts w:hint="eastAsia" w:ascii="仿宋_GB2312" w:eastAsia="仿宋_GB2312"/>
                <w:spacing w:val="10"/>
                <w:sz w:val="24"/>
                <w:szCs w:val="24"/>
                <w:lang w:eastAsia="zh-CN"/>
              </w:rPr>
              <w:t>党政机关工作宣传</w:t>
            </w:r>
            <w:r>
              <w:rPr>
                <w:rFonts w:hint="eastAsia" w:ascii="仿宋_GB2312" w:eastAsia="仿宋_GB2312"/>
                <w:spacing w:val="10"/>
                <w:sz w:val="24"/>
                <w:szCs w:val="24"/>
              </w:rPr>
              <w:t>片相关服务经验的，得3分，未从事过相关工作不得分；</w:t>
            </w:r>
          </w:p>
          <w:p>
            <w:pPr>
              <w:spacing w:line="0" w:lineRule="atLeast"/>
              <w:jc w:val="left"/>
              <w:rPr>
                <w:rFonts w:hint="eastAsia" w:ascii="仿宋_GB2312" w:eastAsia="仿宋_GB2312"/>
                <w:spacing w:val="10"/>
                <w:sz w:val="24"/>
                <w:szCs w:val="24"/>
              </w:rPr>
            </w:pPr>
            <w:r>
              <w:rPr>
                <w:rFonts w:hint="eastAsia" w:ascii="仿宋_GB2312" w:eastAsia="仿宋_GB2312"/>
                <w:spacing w:val="10"/>
                <w:sz w:val="24"/>
                <w:szCs w:val="24"/>
              </w:rPr>
              <w:t>（2）具有本科或以上学历，且从事宣传类工作5年以上的，得3分；</w:t>
            </w:r>
          </w:p>
          <w:p>
            <w:pPr>
              <w:spacing w:line="0" w:lineRule="atLeast"/>
              <w:jc w:val="left"/>
              <w:rPr>
                <w:rFonts w:hint="eastAsia" w:ascii="仿宋_GB2312" w:eastAsia="仿宋_GB2312"/>
                <w:spacing w:val="10"/>
                <w:sz w:val="24"/>
                <w:szCs w:val="24"/>
              </w:rPr>
            </w:pPr>
            <w:r>
              <w:rPr>
                <w:rFonts w:hint="eastAsia" w:ascii="仿宋_GB2312" w:eastAsia="仿宋_GB2312"/>
                <w:spacing w:val="10"/>
                <w:sz w:val="24"/>
                <w:szCs w:val="24"/>
              </w:rPr>
              <w:t>（3）近5年内，担任过市级以上宣传类项目负责人的，每个项目得1分，最高得3分。</w:t>
            </w:r>
          </w:p>
          <w:p>
            <w:pPr>
              <w:spacing w:line="0" w:lineRule="atLeast"/>
              <w:jc w:val="left"/>
              <w:rPr>
                <w:rFonts w:hint="eastAsia" w:ascii="仿宋_GB2312" w:eastAsia="仿宋_GB2312"/>
                <w:spacing w:val="10"/>
                <w:sz w:val="24"/>
                <w:szCs w:val="24"/>
              </w:rPr>
            </w:pPr>
            <w:r>
              <w:rPr>
                <w:rFonts w:hint="eastAsia" w:ascii="仿宋_GB2312" w:eastAsia="仿宋_GB2312"/>
                <w:spacing w:val="10"/>
                <w:sz w:val="24"/>
                <w:szCs w:val="24"/>
              </w:rPr>
              <w:t>评分依据：</w:t>
            </w:r>
          </w:p>
          <w:p>
            <w:pPr>
              <w:spacing w:line="0" w:lineRule="atLeast"/>
              <w:jc w:val="left"/>
              <w:rPr>
                <w:rFonts w:hint="eastAsia" w:ascii="仿宋_GB2312" w:eastAsia="仿宋_GB2312"/>
                <w:spacing w:val="10"/>
                <w:sz w:val="24"/>
                <w:szCs w:val="24"/>
              </w:rPr>
            </w:pPr>
            <w:r>
              <w:rPr>
                <w:rFonts w:hint="eastAsia" w:ascii="仿宋_GB2312" w:eastAsia="仿宋_GB2312"/>
                <w:spacing w:val="10"/>
                <w:sz w:val="24"/>
                <w:szCs w:val="24"/>
              </w:rPr>
              <w:t>1.要求投标人须出具投标截止日前三个月（2021年</w:t>
            </w:r>
            <w:r>
              <w:rPr>
                <w:rFonts w:hint="eastAsia" w:ascii="仿宋_GB2312" w:eastAsia="仿宋_GB2312"/>
                <w:spacing w:val="10"/>
                <w:sz w:val="24"/>
                <w:szCs w:val="24"/>
                <w:lang w:val="en-US" w:eastAsia="zh-CN"/>
              </w:rPr>
              <w:t>9</w:t>
            </w:r>
            <w:r>
              <w:rPr>
                <w:rFonts w:hint="eastAsia" w:ascii="仿宋_GB2312" w:eastAsia="仿宋_GB2312"/>
                <w:spacing w:val="10"/>
                <w:sz w:val="24"/>
                <w:szCs w:val="24"/>
              </w:rPr>
              <w:t>月-</w:t>
            </w:r>
            <w:r>
              <w:rPr>
                <w:rFonts w:hint="eastAsia" w:ascii="仿宋_GB2312" w:eastAsia="仿宋_GB2312"/>
                <w:spacing w:val="10"/>
                <w:sz w:val="24"/>
                <w:szCs w:val="24"/>
                <w:lang w:val="en-US" w:eastAsia="zh-CN"/>
              </w:rPr>
              <w:t>11</w:t>
            </w:r>
            <w:r>
              <w:rPr>
                <w:rFonts w:hint="eastAsia" w:ascii="仿宋_GB2312" w:eastAsia="仿宋_GB2312"/>
                <w:spacing w:val="10"/>
                <w:sz w:val="24"/>
                <w:szCs w:val="24"/>
              </w:rPr>
              <w:t>月）的社保证明、服务经验等相关证明资料作为得分依据。</w:t>
            </w:r>
          </w:p>
          <w:p>
            <w:pPr>
              <w:spacing w:line="0" w:lineRule="atLeast"/>
              <w:jc w:val="left"/>
              <w:rPr>
                <w:rFonts w:hint="eastAsia" w:ascii="仿宋_GB2312" w:eastAsia="仿宋_GB2312"/>
                <w:spacing w:val="10"/>
                <w:sz w:val="24"/>
                <w:szCs w:val="24"/>
              </w:rPr>
            </w:pPr>
            <w:r>
              <w:rPr>
                <w:rFonts w:hint="eastAsia" w:ascii="仿宋_GB2312" w:eastAsia="仿宋_GB2312"/>
                <w:spacing w:val="10"/>
                <w:sz w:val="24"/>
                <w:szCs w:val="24"/>
              </w:rPr>
              <w:t>2.以上资料均要求提供扫描件或复印件（或官方网站截图）加盖投标人公章，原件备查。评分中出现无证明资料或专家无法凭所提供资料判断是否得分的情况，一律作不得分处理。</w:t>
            </w:r>
          </w:p>
          <w:p>
            <w:pPr>
              <w:spacing w:line="0" w:lineRule="atLeast"/>
              <w:jc w:val="left"/>
              <w:rPr>
                <w:rFonts w:ascii="仿宋_GB2312" w:eastAsia="仿宋_GB2312"/>
                <w:spacing w:val="10"/>
                <w:sz w:val="24"/>
                <w:szCs w:val="24"/>
              </w:rPr>
            </w:pPr>
            <w:r>
              <w:rPr>
                <w:rFonts w:hint="eastAsia" w:ascii="仿宋_GB2312" w:eastAsia="仿宋_GB2312"/>
                <w:spacing w:val="10"/>
                <w:sz w:val="24"/>
                <w:szCs w:val="24"/>
              </w:rPr>
              <w:t>3.关于人员工作经验证明材料，要求提供项目合同关键信息作为得分依据，通过合同关键信息无法判断是否得分的，还须同时提供合同甲方出具的证明文件。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8" w:hRule="atLeast"/>
          <w:jc w:val="center"/>
        </w:trPr>
        <w:tc>
          <w:tcPr>
            <w:tcW w:w="576" w:type="dxa"/>
            <w:vMerge w:val="continue"/>
            <w:tcBorders>
              <w:top w:val="single" w:color="auto" w:sz="2" w:space="0"/>
              <w:left w:val="inset" w:color="auto" w:sz="6" w:space="0"/>
              <w:bottom w:val="inset" w:color="auto" w:sz="6" w:space="0"/>
              <w:right w:val="inset" w:color="auto" w:sz="6" w:space="0"/>
            </w:tcBorders>
            <w:vAlign w:val="center"/>
          </w:tcPr>
          <w:p>
            <w:pPr>
              <w:widowControl/>
              <w:jc w:val="left"/>
              <w:rPr>
                <w:rFonts w:ascii="仿宋_GB2312" w:eastAsia="仿宋_GB2312"/>
                <w:spacing w:val="10"/>
                <w:sz w:val="24"/>
                <w:szCs w:val="24"/>
              </w:rPr>
            </w:pPr>
          </w:p>
        </w:tc>
        <w:tc>
          <w:tcPr>
            <w:tcW w:w="567" w:type="dxa"/>
            <w:vMerge w:val="continue"/>
            <w:tcBorders>
              <w:top w:val="single" w:color="auto" w:sz="2" w:space="0"/>
              <w:left w:val="single" w:color="auto" w:sz="2" w:space="0"/>
              <w:bottom w:val="inset" w:color="auto" w:sz="6" w:space="0"/>
              <w:right w:val="inset" w:color="auto" w:sz="6" w:space="0"/>
            </w:tcBorders>
            <w:vAlign w:val="center"/>
          </w:tcPr>
          <w:p>
            <w:pPr>
              <w:widowControl/>
              <w:jc w:val="left"/>
              <w:rPr>
                <w:rFonts w:ascii="仿宋_GB2312" w:eastAsia="仿宋_GB2312"/>
                <w:spacing w:val="10"/>
                <w:sz w:val="24"/>
                <w:szCs w:val="24"/>
              </w:rPr>
            </w:pPr>
          </w:p>
        </w:tc>
        <w:tc>
          <w:tcPr>
            <w:tcW w:w="1844" w:type="dxa"/>
            <w:tcBorders>
              <w:top w:val="inset" w:color="auto" w:sz="6" w:space="0"/>
              <w:left w:val="single" w:color="auto" w:sz="2" w:space="0"/>
              <w:bottom w:val="inset" w:color="auto" w:sz="6" w:space="0"/>
              <w:right w:val="inset" w:color="auto" w:sz="6" w:space="0"/>
            </w:tcBorders>
            <w:vAlign w:val="center"/>
          </w:tcPr>
          <w:p>
            <w:pPr>
              <w:spacing w:line="0" w:lineRule="atLeast"/>
              <w:jc w:val="center"/>
              <w:rPr>
                <w:rFonts w:ascii="仿宋_GB2312" w:eastAsia="仿宋_GB2312"/>
                <w:spacing w:val="10"/>
                <w:sz w:val="24"/>
                <w:szCs w:val="24"/>
              </w:rPr>
            </w:pPr>
            <w:r>
              <w:rPr>
                <w:rFonts w:hint="eastAsia" w:ascii="仿宋_GB2312" w:eastAsia="仿宋_GB2312"/>
                <w:spacing w:val="10"/>
                <w:sz w:val="24"/>
                <w:szCs w:val="24"/>
              </w:rPr>
              <w:t>拟安排的项目组成员情况</w:t>
            </w:r>
          </w:p>
        </w:tc>
        <w:tc>
          <w:tcPr>
            <w:tcW w:w="709" w:type="dxa"/>
            <w:tcBorders>
              <w:top w:val="inset" w:color="auto" w:sz="6" w:space="0"/>
              <w:left w:val="single" w:color="auto" w:sz="2" w:space="0"/>
              <w:bottom w:val="inset" w:color="auto" w:sz="6" w:space="0"/>
              <w:right w:val="inset" w:color="auto" w:sz="6" w:space="0"/>
            </w:tcBorders>
            <w:vAlign w:val="center"/>
          </w:tcPr>
          <w:p>
            <w:pPr>
              <w:spacing w:line="0" w:lineRule="atLeast"/>
              <w:jc w:val="center"/>
              <w:rPr>
                <w:rFonts w:ascii="仿宋_GB2312" w:eastAsia="仿宋_GB2312"/>
                <w:spacing w:val="10"/>
                <w:sz w:val="24"/>
                <w:szCs w:val="24"/>
              </w:rPr>
            </w:pPr>
            <w:r>
              <w:rPr>
                <w:rFonts w:hint="eastAsia" w:ascii="仿宋_GB2312" w:eastAsia="仿宋_GB2312"/>
                <w:spacing w:val="10"/>
                <w:sz w:val="24"/>
                <w:szCs w:val="24"/>
              </w:rPr>
              <w:t>6</w:t>
            </w:r>
          </w:p>
        </w:tc>
        <w:tc>
          <w:tcPr>
            <w:tcW w:w="5388" w:type="dxa"/>
            <w:tcBorders>
              <w:top w:val="inset" w:color="auto" w:sz="6" w:space="0"/>
              <w:left w:val="single" w:color="auto" w:sz="2" w:space="0"/>
              <w:bottom w:val="inset" w:color="auto" w:sz="6" w:space="0"/>
              <w:right w:val="inset" w:color="auto" w:sz="6" w:space="0"/>
            </w:tcBorders>
            <w:vAlign w:val="center"/>
          </w:tcPr>
          <w:p>
            <w:pPr>
              <w:spacing w:line="0" w:lineRule="atLeast"/>
              <w:jc w:val="left"/>
              <w:rPr>
                <w:rFonts w:ascii="仿宋_GB2312" w:eastAsia="仿宋_GB2312"/>
                <w:spacing w:val="10"/>
                <w:sz w:val="24"/>
                <w:szCs w:val="24"/>
              </w:rPr>
            </w:pPr>
            <w:r>
              <w:rPr>
                <w:rFonts w:hint="eastAsia" w:ascii="仿宋_GB2312" w:eastAsia="仿宋_GB2312"/>
                <w:spacing w:val="10"/>
                <w:sz w:val="24"/>
                <w:szCs w:val="24"/>
              </w:rPr>
              <w:t>（1）项目组成员最高学历为本科或以上学历的，每提供1人得1分，最高得3分；</w:t>
            </w:r>
          </w:p>
          <w:p>
            <w:pPr>
              <w:spacing w:line="0" w:lineRule="atLeast"/>
              <w:jc w:val="left"/>
              <w:rPr>
                <w:rFonts w:hint="eastAsia" w:ascii="仿宋_GB2312" w:eastAsia="仿宋_GB2312"/>
                <w:spacing w:val="10"/>
                <w:sz w:val="24"/>
                <w:szCs w:val="24"/>
              </w:rPr>
            </w:pPr>
            <w:r>
              <w:rPr>
                <w:rFonts w:hint="eastAsia" w:ascii="仿宋_GB2312" w:eastAsia="仿宋_GB2312"/>
                <w:spacing w:val="10"/>
                <w:sz w:val="24"/>
                <w:szCs w:val="24"/>
              </w:rPr>
              <w:t>（2）项目组成员专业为影视类、新闻传播类（以学历证书为准），每提供1人得1分，最高得3分。</w:t>
            </w:r>
          </w:p>
          <w:p>
            <w:pPr>
              <w:spacing w:line="0" w:lineRule="atLeast"/>
              <w:jc w:val="left"/>
              <w:rPr>
                <w:rFonts w:hint="eastAsia" w:ascii="仿宋_GB2312" w:eastAsia="仿宋_GB2312"/>
                <w:spacing w:val="10"/>
                <w:sz w:val="24"/>
                <w:szCs w:val="24"/>
              </w:rPr>
            </w:pPr>
            <w:r>
              <w:rPr>
                <w:rFonts w:hint="eastAsia" w:ascii="仿宋_GB2312" w:eastAsia="仿宋_GB2312"/>
                <w:spacing w:val="10"/>
                <w:sz w:val="24"/>
                <w:szCs w:val="24"/>
              </w:rPr>
              <w:t>评分依据：</w:t>
            </w:r>
          </w:p>
          <w:p>
            <w:pPr>
              <w:spacing w:line="0" w:lineRule="atLeast"/>
              <w:jc w:val="left"/>
              <w:rPr>
                <w:rFonts w:hint="eastAsia" w:ascii="仿宋_GB2312" w:eastAsia="仿宋_GB2312"/>
                <w:spacing w:val="10"/>
                <w:sz w:val="24"/>
                <w:szCs w:val="24"/>
              </w:rPr>
            </w:pPr>
            <w:r>
              <w:rPr>
                <w:rFonts w:hint="eastAsia" w:ascii="仿宋_GB2312" w:eastAsia="仿宋_GB2312"/>
                <w:spacing w:val="10"/>
                <w:sz w:val="24"/>
                <w:szCs w:val="24"/>
              </w:rPr>
              <w:t>1.项目组成员须出具投标截止日前三个月（2021年</w:t>
            </w:r>
            <w:r>
              <w:rPr>
                <w:rFonts w:hint="eastAsia" w:ascii="仿宋_GB2312" w:eastAsia="仿宋_GB2312"/>
                <w:spacing w:val="10"/>
                <w:sz w:val="24"/>
                <w:szCs w:val="24"/>
                <w:lang w:val="en-US" w:eastAsia="zh-CN"/>
              </w:rPr>
              <w:t>9</w:t>
            </w:r>
            <w:r>
              <w:rPr>
                <w:rFonts w:hint="eastAsia" w:ascii="仿宋_GB2312" w:eastAsia="仿宋_GB2312"/>
                <w:spacing w:val="10"/>
                <w:sz w:val="24"/>
                <w:szCs w:val="24"/>
              </w:rPr>
              <w:t>月-</w:t>
            </w:r>
            <w:r>
              <w:rPr>
                <w:rFonts w:hint="eastAsia" w:ascii="仿宋_GB2312" w:eastAsia="仿宋_GB2312"/>
                <w:spacing w:val="10"/>
                <w:sz w:val="24"/>
                <w:szCs w:val="24"/>
                <w:lang w:val="en-US" w:eastAsia="zh-CN"/>
              </w:rPr>
              <w:t>11</w:t>
            </w:r>
            <w:bookmarkStart w:id="0" w:name="_GoBack"/>
            <w:bookmarkEnd w:id="0"/>
            <w:r>
              <w:rPr>
                <w:rFonts w:hint="eastAsia" w:ascii="仿宋_GB2312" w:eastAsia="仿宋_GB2312"/>
                <w:spacing w:val="10"/>
                <w:sz w:val="24"/>
                <w:szCs w:val="24"/>
              </w:rPr>
              <w:t>月）的社保购买证明、相关经验等相关证明资料作为得分依据。</w:t>
            </w:r>
          </w:p>
          <w:p>
            <w:pPr>
              <w:spacing w:line="0" w:lineRule="atLeast"/>
              <w:jc w:val="left"/>
              <w:rPr>
                <w:rFonts w:ascii="仿宋_GB2312" w:eastAsia="仿宋_GB2312"/>
                <w:spacing w:val="10"/>
                <w:kern w:val="0"/>
                <w:sz w:val="24"/>
                <w:szCs w:val="24"/>
              </w:rPr>
            </w:pPr>
            <w:r>
              <w:rPr>
                <w:rFonts w:hint="eastAsia" w:ascii="仿宋_GB2312" w:eastAsia="仿宋_GB2312"/>
                <w:spacing w:val="10"/>
                <w:sz w:val="24"/>
                <w:szCs w:val="24"/>
              </w:rPr>
              <w:t>2.提供项目组成员相关学历证书作为得分依据，不提供或提供不齐全的不得分。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78" w:hRule="atLeast"/>
          <w:jc w:val="center"/>
        </w:trPr>
        <w:tc>
          <w:tcPr>
            <w:tcW w:w="576" w:type="dxa"/>
            <w:vMerge w:val="continue"/>
            <w:tcBorders>
              <w:top w:val="single" w:color="auto" w:sz="2" w:space="0"/>
              <w:left w:val="inset" w:color="auto" w:sz="6" w:space="0"/>
              <w:bottom w:val="inset" w:color="auto" w:sz="6" w:space="0"/>
              <w:right w:val="inset" w:color="auto" w:sz="6" w:space="0"/>
            </w:tcBorders>
            <w:vAlign w:val="center"/>
          </w:tcPr>
          <w:p>
            <w:pPr>
              <w:widowControl/>
              <w:jc w:val="left"/>
              <w:rPr>
                <w:rFonts w:ascii="仿宋_GB2312" w:eastAsia="仿宋_GB2312"/>
                <w:spacing w:val="10"/>
                <w:sz w:val="24"/>
                <w:szCs w:val="24"/>
              </w:rPr>
            </w:pPr>
          </w:p>
        </w:tc>
        <w:tc>
          <w:tcPr>
            <w:tcW w:w="567" w:type="dxa"/>
            <w:vMerge w:val="continue"/>
            <w:tcBorders>
              <w:top w:val="single" w:color="auto" w:sz="2" w:space="0"/>
              <w:left w:val="single" w:color="auto" w:sz="2" w:space="0"/>
              <w:bottom w:val="inset" w:color="auto" w:sz="6" w:space="0"/>
              <w:right w:val="inset" w:color="auto" w:sz="6" w:space="0"/>
            </w:tcBorders>
            <w:vAlign w:val="center"/>
          </w:tcPr>
          <w:p>
            <w:pPr>
              <w:widowControl/>
              <w:jc w:val="left"/>
              <w:rPr>
                <w:rFonts w:ascii="仿宋_GB2312" w:eastAsia="仿宋_GB2312"/>
                <w:spacing w:val="10"/>
                <w:sz w:val="24"/>
                <w:szCs w:val="24"/>
              </w:rPr>
            </w:pPr>
          </w:p>
        </w:tc>
        <w:tc>
          <w:tcPr>
            <w:tcW w:w="1844" w:type="dxa"/>
            <w:tcBorders>
              <w:top w:val="inset" w:color="auto" w:sz="6" w:space="0"/>
              <w:left w:val="single" w:color="auto" w:sz="2" w:space="0"/>
              <w:bottom w:val="inset" w:color="auto" w:sz="6" w:space="0"/>
              <w:right w:val="inset" w:color="auto" w:sz="6" w:space="0"/>
            </w:tcBorders>
            <w:vAlign w:val="center"/>
          </w:tcPr>
          <w:p>
            <w:pPr>
              <w:widowControl/>
              <w:spacing w:before="100" w:beforeAutospacing="1" w:after="100" w:afterAutospacing="1" w:line="0" w:lineRule="atLeast"/>
              <w:jc w:val="center"/>
              <w:rPr>
                <w:rFonts w:ascii="仿宋_GB2312" w:eastAsia="仿宋_GB2312"/>
                <w:spacing w:val="10"/>
                <w:sz w:val="24"/>
                <w:szCs w:val="24"/>
              </w:rPr>
            </w:pPr>
            <w:r>
              <w:rPr>
                <w:rFonts w:hint="eastAsia" w:ascii="仿宋_GB2312" w:eastAsia="仿宋_GB2312"/>
                <w:spacing w:val="10"/>
                <w:sz w:val="24"/>
                <w:szCs w:val="24"/>
              </w:rPr>
              <w:t>服务网点</w:t>
            </w:r>
          </w:p>
        </w:tc>
        <w:tc>
          <w:tcPr>
            <w:tcW w:w="709" w:type="dxa"/>
            <w:tcBorders>
              <w:top w:val="inset" w:color="auto" w:sz="6" w:space="0"/>
              <w:left w:val="single" w:color="auto" w:sz="2" w:space="0"/>
              <w:bottom w:val="inset" w:color="auto" w:sz="6" w:space="0"/>
              <w:right w:val="inset" w:color="auto" w:sz="6" w:space="0"/>
            </w:tcBorders>
            <w:vAlign w:val="center"/>
          </w:tcPr>
          <w:p>
            <w:pPr>
              <w:spacing w:line="0" w:lineRule="atLeast"/>
              <w:jc w:val="center"/>
              <w:rPr>
                <w:rFonts w:ascii="仿宋_GB2312" w:eastAsia="仿宋_GB2312"/>
                <w:spacing w:val="10"/>
                <w:sz w:val="24"/>
                <w:szCs w:val="24"/>
              </w:rPr>
            </w:pPr>
            <w:r>
              <w:rPr>
                <w:rFonts w:hint="eastAsia" w:ascii="仿宋_GB2312" w:eastAsia="仿宋_GB2312"/>
                <w:spacing w:val="10"/>
                <w:sz w:val="24"/>
                <w:szCs w:val="24"/>
              </w:rPr>
              <w:t>4</w:t>
            </w:r>
          </w:p>
        </w:tc>
        <w:tc>
          <w:tcPr>
            <w:tcW w:w="5388" w:type="dxa"/>
            <w:tcBorders>
              <w:top w:val="inset" w:color="auto" w:sz="6" w:space="0"/>
              <w:left w:val="single" w:color="auto" w:sz="2" w:space="0"/>
              <w:bottom w:val="inset" w:color="auto" w:sz="6" w:space="0"/>
              <w:right w:val="inset" w:color="auto" w:sz="6" w:space="0"/>
            </w:tcBorders>
            <w:vAlign w:val="center"/>
          </w:tcPr>
          <w:p>
            <w:pPr>
              <w:spacing w:line="0" w:lineRule="atLeast"/>
              <w:jc w:val="left"/>
              <w:rPr>
                <w:rFonts w:ascii="仿宋_GB2312" w:eastAsia="仿宋_GB2312"/>
                <w:kern w:val="0"/>
                <w:sz w:val="24"/>
                <w:szCs w:val="24"/>
              </w:rPr>
            </w:pPr>
            <w:r>
              <w:rPr>
                <w:rFonts w:hint="eastAsia" w:ascii="仿宋_GB2312" w:eastAsia="仿宋_GB2312"/>
                <w:sz w:val="24"/>
                <w:szCs w:val="24"/>
              </w:rPr>
              <w:t>深圳供应商，或非深圳供应商但在深圳有合法注册的分公司（或售后机构）（分公司的必须提供分公司营业执照扫描件，售后机构必须同时提供售后服务合作合同及售后机构营业执照扫描件作为得分依据，原件备查）的，得2分；否则不得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3"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962"/>
    <w:rsid w:val="00821962"/>
    <w:rsid w:val="00A649E9"/>
    <w:rsid w:val="00B75520"/>
    <w:rsid w:val="487859DC"/>
    <w:rsid w:val="5FA84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367</Words>
  <Characters>2093</Characters>
  <Lines>17</Lines>
  <Paragraphs>4</Paragraphs>
  <TotalTime>4</TotalTime>
  <ScaleCrop>false</ScaleCrop>
  <LinksUpToDate>false</LinksUpToDate>
  <CharactersWithSpaces>2456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2021-09-18T09:46:00Z</dcterms:created>
  <dc:creator>罗梦岚</dc:creator>
  <cp:lastModifiedBy>萬. 不二</cp:lastModifiedBy>
  <dcterms:modified xsi:type="dcterms:W3CDTF">2021-12-10T01:54:02Z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55582D187660451E853221A4E6A5E305</vt:lpwstr>
  </property>
</Properties>
</file>