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BE" w:rsidRDefault="009802BE" w:rsidP="009802BE">
      <w:pPr>
        <w:spacing w:line="580" w:lineRule="exact"/>
        <w:jc w:val="left"/>
        <w:rPr>
          <w:rFonts w:ascii="黑体" w:eastAsia="黑体" w:hAnsi="宋体" w:cs="仿宋" w:hint="eastAsia"/>
          <w:sz w:val="32"/>
          <w:szCs w:val="32"/>
        </w:rPr>
      </w:pPr>
      <w:r>
        <w:rPr>
          <w:rFonts w:ascii="黑体" w:eastAsia="黑体" w:hAnsi="黑体" w:cs="仿宋" w:hint="eastAsia"/>
          <w:sz w:val="32"/>
          <w:szCs w:val="32"/>
        </w:rPr>
        <w:t>附件</w:t>
      </w:r>
      <w:r>
        <w:rPr>
          <w:rFonts w:ascii="黑体" w:eastAsia="黑体" w:hAnsi="宋体" w:cs="仿宋" w:hint="eastAsia"/>
          <w:sz w:val="32"/>
          <w:szCs w:val="32"/>
        </w:rPr>
        <w:t>1</w:t>
      </w:r>
    </w:p>
    <w:p w:rsidR="009802BE" w:rsidRDefault="009802BE" w:rsidP="009802BE">
      <w:pPr>
        <w:spacing w:line="580" w:lineRule="exact"/>
        <w:jc w:val="left"/>
        <w:rPr>
          <w:rFonts w:ascii="黑体" w:eastAsia="黑体" w:hAnsi="宋体" w:cs="仿宋" w:hint="eastAsia"/>
          <w:sz w:val="32"/>
          <w:szCs w:val="32"/>
        </w:rPr>
      </w:pPr>
      <w:r>
        <w:rPr>
          <w:rFonts w:ascii="黑体" w:eastAsia="黑体" w:hAnsi="宋体" w:cs="仿宋" w:hint="eastAsia"/>
          <w:sz w:val="32"/>
          <w:szCs w:val="32"/>
        </w:rPr>
        <w:t xml:space="preserve"> </w:t>
      </w:r>
    </w:p>
    <w:p w:rsidR="009802BE" w:rsidRDefault="009802BE" w:rsidP="009802BE">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综合评分细则</w:t>
      </w:r>
    </w:p>
    <w:bookmarkEnd w:id="0"/>
    <w:p w:rsidR="009802BE" w:rsidRDefault="009802BE" w:rsidP="009802BE">
      <w:pPr>
        <w:snapToGrid w:val="0"/>
        <w:spacing w:line="360" w:lineRule="auto"/>
        <w:jc w:val="left"/>
        <w:rPr>
          <w:rFonts w:ascii="仿宋_GB2312" w:eastAsia="仿宋_GB2312" w:hAnsi="仿宋" w:hint="eastAsia"/>
          <w:spacing w:val="10"/>
          <w:kern w:val="0"/>
          <w:sz w:val="28"/>
          <w:szCs w:val="28"/>
        </w:rPr>
      </w:pPr>
      <w:r>
        <w:rPr>
          <w:rFonts w:ascii="仿宋_GB2312" w:eastAsia="仿宋_GB2312" w:hAnsi="仿宋" w:hint="eastAsia"/>
          <w:spacing w:val="10"/>
          <w:kern w:val="0"/>
          <w:sz w:val="28"/>
          <w:szCs w:val="28"/>
        </w:rPr>
        <w:t xml:space="preserve"> </w:t>
      </w:r>
    </w:p>
    <w:p w:rsidR="009802BE" w:rsidRDefault="009802BE" w:rsidP="009802BE">
      <w:pPr>
        <w:snapToGrid w:val="0"/>
        <w:spacing w:line="360" w:lineRule="auto"/>
        <w:jc w:val="left"/>
        <w:rPr>
          <w:rFonts w:ascii="仿宋_GB2312" w:eastAsia="仿宋_GB2312" w:hAnsi="仿宋" w:hint="eastAsia"/>
          <w:spacing w:val="10"/>
          <w:kern w:val="0"/>
          <w:sz w:val="28"/>
          <w:szCs w:val="28"/>
        </w:rPr>
      </w:pPr>
      <w:r>
        <w:rPr>
          <w:rFonts w:ascii="仿宋_GB2312" w:eastAsia="仿宋_GB2312" w:hAnsi="仿宋" w:hint="eastAsia"/>
          <w:spacing w:val="10"/>
          <w:kern w:val="0"/>
          <w:sz w:val="28"/>
          <w:szCs w:val="28"/>
        </w:rPr>
        <w:t>评标方法为综合评分法。</w:t>
      </w:r>
    </w:p>
    <w:p w:rsidR="009802BE" w:rsidRDefault="009802BE" w:rsidP="009802BE">
      <w:pPr>
        <w:snapToGrid w:val="0"/>
        <w:spacing w:line="360" w:lineRule="auto"/>
        <w:jc w:val="left"/>
        <w:rPr>
          <w:rFonts w:ascii="仿宋_GB2312" w:eastAsia="仿宋_GB2312" w:hAnsi="仿宋" w:hint="eastAsia"/>
          <w:spacing w:val="10"/>
          <w:kern w:val="0"/>
          <w:sz w:val="28"/>
          <w:szCs w:val="28"/>
        </w:rPr>
      </w:pPr>
      <w:r>
        <w:rPr>
          <w:rFonts w:ascii="仿宋_GB2312" w:eastAsia="仿宋_GB2312" w:hAnsi="仿宋" w:hint="eastAsia"/>
          <w:spacing w:val="10"/>
          <w:kern w:val="0"/>
          <w:sz w:val="28"/>
          <w:szCs w:val="28"/>
        </w:rPr>
        <w:t>评审小组会按综合得分由高到低的顺序排出各有效投标的名次，</w:t>
      </w:r>
    </w:p>
    <w:p w:rsidR="009802BE" w:rsidRDefault="009802BE" w:rsidP="009802BE">
      <w:pPr>
        <w:snapToGrid w:val="0"/>
        <w:spacing w:line="360" w:lineRule="auto"/>
        <w:jc w:val="left"/>
        <w:rPr>
          <w:rFonts w:ascii="仿宋_GB2312" w:eastAsia="仿宋_GB2312" w:hAnsi="仿宋" w:hint="eastAsia"/>
          <w:spacing w:val="10"/>
          <w:kern w:val="0"/>
          <w:sz w:val="28"/>
          <w:szCs w:val="28"/>
        </w:rPr>
      </w:pPr>
      <w:r>
        <w:rPr>
          <w:rFonts w:ascii="仿宋_GB2312" w:eastAsia="仿宋_GB2312" w:hAnsi="仿宋" w:hint="eastAsia"/>
          <w:spacing w:val="10"/>
          <w:kern w:val="0"/>
          <w:sz w:val="28"/>
          <w:szCs w:val="28"/>
        </w:rPr>
        <w:t>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668"/>
        <w:gridCol w:w="1106"/>
        <w:gridCol w:w="808"/>
        <w:gridCol w:w="967"/>
        <w:gridCol w:w="4668"/>
      </w:tblGrid>
      <w:tr w:rsidR="009802BE" w:rsidTr="006B5F83">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序号</w:t>
            </w:r>
          </w:p>
        </w:tc>
        <w:tc>
          <w:tcPr>
            <w:tcW w:w="3549" w:type="dxa"/>
            <w:gridSpan w:val="4"/>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评分项</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权重</w:t>
            </w:r>
          </w:p>
        </w:tc>
      </w:tr>
      <w:tr w:rsidR="009802BE" w:rsidTr="006B5F83">
        <w:trPr>
          <w:trHeight w:val="317"/>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w:t>
            </w:r>
          </w:p>
        </w:tc>
        <w:tc>
          <w:tcPr>
            <w:tcW w:w="3549" w:type="dxa"/>
            <w:gridSpan w:val="4"/>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价格</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20</w:t>
            </w:r>
          </w:p>
        </w:tc>
      </w:tr>
      <w:tr w:rsidR="009802BE" w:rsidTr="006B5F83">
        <w:trPr>
          <w:trHeight w:val="317"/>
        </w:trPr>
        <w:tc>
          <w:tcPr>
            <w:tcW w:w="9039" w:type="dxa"/>
            <w:gridSpan w:val="6"/>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rsidR="009802BE" w:rsidTr="006B5F83">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2</w:t>
            </w:r>
          </w:p>
        </w:tc>
        <w:tc>
          <w:tcPr>
            <w:tcW w:w="3549" w:type="dxa"/>
            <w:gridSpan w:val="4"/>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技术部分</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40</w:t>
            </w:r>
          </w:p>
        </w:tc>
      </w:tr>
      <w:tr w:rsidR="009802BE" w:rsidTr="006B5F83">
        <w:tc>
          <w:tcPr>
            <w:tcW w:w="822" w:type="dxa"/>
            <w:vMerge w:val="restart"/>
            <w:tcBorders>
              <w:top w:val="nil"/>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序号</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评分因素</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权重</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评分方式</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评分准则</w:t>
            </w:r>
          </w:p>
        </w:tc>
      </w:tr>
      <w:tr w:rsidR="009802BE" w:rsidTr="006B5F83">
        <w:trPr>
          <w:trHeight w:val="63"/>
        </w:trPr>
        <w:tc>
          <w:tcPr>
            <w:tcW w:w="822" w:type="dxa"/>
            <w:vMerge/>
            <w:tcBorders>
              <w:top w:val="nil"/>
              <w:left w:val="single" w:sz="4" w:space="0" w:color="auto"/>
              <w:bottom w:val="single" w:sz="4" w:space="0" w:color="auto"/>
              <w:right w:val="single" w:sz="4" w:space="0" w:color="auto"/>
            </w:tcBorders>
            <w:vAlign w:val="center"/>
          </w:tcPr>
          <w:p w:rsidR="009802BE" w:rsidRDefault="009802BE" w:rsidP="006B5F83">
            <w:pPr>
              <w:widowControl/>
              <w:jc w:val="left"/>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运维方案建设情况</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30</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left"/>
              <w:rPr>
                <w:rFonts w:ascii="仿宋_GB2312" w:eastAsia="仿宋_GB2312"/>
                <w:spacing w:val="10"/>
                <w:sz w:val="24"/>
                <w:szCs w:val="24"/>
              </w:rPr>
            </w:pPr>
            <w:r>
              <w:rPr>
                <w:rFonts w:ascii="仿宋_GB2312" w:eastAsia="仿宋_GB2312" w:hint="eastAsia"/>
                <w:b/>
                <w:spacing w:val="10"/>
                <w:sz w:val="24"/>
                <w:szCs w:val="24"/>
              </w:rPr>
              <w:t>评审内容</w:t>
            </w:r>
            <w:r>
              <w:rPr>
                <w:rFonts w:ascii="仿宋_GB2312" w:eastAsia="仿宋_GB2312" w:hint="eastAsia"/>
                <w:spacing w:val="10"/>
                <w:sz w:val="24"/>
                <w:szCs w:val="24"/>
              </w:rPr>
              <w:t>：</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 xml:space="preserve">考察投标人投标文件的运维方案建设情况。 </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b/>
                <w:spacing w:val="10"/>
                <w:sz w:val="24"/>
                <w:szCs w:val="24"/>
              </w:rPr>
              <w:t>评分依据：</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1、日常维护的内容可确保软件正常使用；</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2、日常检查方式可防止问题发生；</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3、解决问题的方式可保证工作顺利；</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4、数据备份可确保数据安全；</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5、保密工作可确保信息不被泄露。</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满足以上五项要求得30分，满足以上四项要求得25分，满足以上三项要求得20分，其它情况不得分。</w:t>
            </w:r>
          </w:p>
        </w:tc>
      </w:tr>
      <w:tr w:rsidR="009802BE" w:rsidTr="006B5F83">
        <w:trPr>
          <w:trHeight w:val="63"/>
        </w:trPr>
        <w:tc>
          <w:tcPr>
            <w:tcW w:w="822" w:type="dxa"/>
            <w:tcBorders>
              <w:top w:val="nil"/>
              <w:left w:val="single" w:sz="4" w:space="0" w:color="auto"/>
              <w:bottom w:val="single" w:sz="4" w:space="0" w:color="auto"/>
              <w:right w:val="single" w:sz="4" w:space="0" w:color="auto"/>
            </w:tcBorders>
            <w:vAlign w:val="center"/>
          </w:tcPr>
          <w:p w:rsidR="009802BE" w:rsidRDefault="009802BE" w:rsidP="006B5F83">
            <w:pPr>
              <w:rPr>
                <w:rFonts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2</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培训方案建设情况</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10</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rPr>
                <w:rFonts w:ascii="仿宋_GB2312" w:eastAsia="仿宋_GB2312"/>
                <w:b/>
                <w:spacing w:val="10"/>
                <w:sz w:val="24"/>
                <w:szCs w:val="24"/>
              </w:rPr>
            </w:pPr>
            <w:r>
              <w:rPr>
                <w:rFonts w:ascii="仿宋_GB2312" w:eastAsia="仿宋_GB2312" w:hint="eastAsia"/>
                <w:b/>
                <w:spacing w:val="10"/>
                <w:sz w:val="24"/>
                <w:szCs w:val="24"/>
              </w:rPr>
              <w:t>评审内容：</w:t>
            </w:r>
          </w:p>
          <w:p w:rsidR="009802BE" w:rsidRDefault="009802BE" w:rsidP="006B5F83">
            <w:pPr>
              <w:rPr>
                <w:rFonts w:ascii="仿宋_GB2312" w:eastAsia="仿宋_GB2312" w:hint="eastAsia"/>
                <w:spacing w:val="10"/>
                <w:sz w:val="24"/>
                <w:szCs w:val="24"/>
              </w:rPr>
            </w:pPr>
            <w:r>
              <w:rPr>
                <w:rFonts w:ascii="仿宋_GB2312" w:eastAsia="仿宋_GB2312" w:hint="eastAsia"/>
                <w:spacing w:val="10"/>
                <w:sz w:val="24"/>
                <w:szCs w:val="24"/>
              </w:rPr>
              <w:t>合理的培训可以规范软件的运作，提高工作效率。</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b/>
                <w:spacing w:val="10"/>
                <w:sz w:val="24"/>
                <w:szCs w:val="24"/>
              </w:rPr>
              <w:t>评分依据</w:t>
            </w:r>
            <w:r>
              <w:rPr>
                <w:rFonts w:ascii="仿宋_GB2312" w:eastAsia="仿宋_GB2312" w:hint="eastAsia"/>
                <w:spacing w:val="10"/>
                <w:sz w:val="24"/>
                <w:szCs w:val="24"/>
              </w:rPr>
              <w:t>：</w:t>
            </w:r>
          </w:p>
          <w:p w:rsidR="009802BE" w:rsidRDefault="009802BE" w:rsidP="009802BE">
            <w:pPr>
              <w:numPr>
                <w:ilvl w:val="0"/>
                <w:numId w:val="1"/>
              </w:numPr>
              <w:rPr>
                <w:rFonts w:ascii="仿宋_GB2312" w:eastAsia="仿宋_GB2312" w:hint="eastAsia"/>
                <w:spacing w:val="10"/>
                <w:sz w:val="24"/>
                <w:szCs w:val="24"/>
              </w:rPr>
            </w:pPr>
            <w:r>
              <w:rPr>
                <w:rFonts w:ascii="仿宋_GB2312" w:eastAsia="仿宋_GB2312" w:hint="eastAsia"/>
                <w:spacing w:val="10"/>
                <w:sz w:val="24"/>
                <w:szCs w:val="24"/>
              </w:rPr>
              <w:t>培训对象可以覆盖操作人员；</w:t>
            </w:r>
          </w:p>
          <w:p w:rsidR="009802BE" w:rsidRDefault="009802BE" w:rsidP="009802BE">
            <w:pPr>
              <w:numPr>
                <w:ilvl w:val="0"/>
                <w:numId w:val="1"/>
              </w:numPr>
              <w:rPr>
                <w:rFonts w:ascii="仿宋_GB2312" w:eastAsia="仿宋_GB2312"/>
                <w:spacing w:val="10"/>
                <w:sz w:val="24"/>
                <w:szCs w:val="24"/>
              </w:rPr>
            </w:pPr>
            <w:r>
              <w:rPr>
                <w:rFonts w:ascii="仿宋_GB2312" w:eastAsia="仿宋_GB2312" w:hint="eastAsia"/>
                <w:spacing w:val="10"/>
                <w:sz w:val="24"/>
                <w:szCs w:val="24"/>
              </w:rPr>
              <w:t>培训形式既能满足需求又经济高效。满足以上两项得10分，满足以上一项得5分，无培训服务不得分。</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3</w:t>
            </w:r>
          </w:p>
        </w:tc>
        <w:tc>
          <w:tcPr>
            <w:tcW w:w="3549" w:type="dxa"/>
            <w:gridSpan w:val="4"/>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综合实力部分</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b/>
                <w:spacing w:val="10"/>
                <w:sz w:val="24"/>
                <w:szCs w:val="24"/>
              </w:rPr>
            </w:pPr>
            <w:r>
              <w:rPr>
                <w:rFonts w:ascii="仿宋_GB2312" w:eastAsia="仿宋_GB2312" w:hint="eastAsia"/>
                <w:b/>
                <w:spacing w:val="10"/>
                <w:sz w:val="24"/>
                <w:szCs w:val="24"/>
              </w:rPr>
              <w:t>40</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序</w:t>
            </w:r>
            <w:r>
              <w:rPr>
                <w:rFonts w:ascii="仿宋_GB2312" w:eastAsia="仿宋_GB2312" w:hint="eastAsia"/>
                <w:spacing w:val="10"/>
                <w:sz w:val="24"/>
                <w:szCs w:val="24"/>
              </w:rPr>
              <w:lastRenderedPageBreak/>
              <w:t>号</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lastRenderedPageBreak/>
              <w:t>评分因</w:t>
            </w:r>
            <w:r>
              <w:rPr>
                <w:rFonts w:ascii="仿宋_GB2312" w:eastAsia="仿宋_GB2312" w:hint="eastAsia"/>
                <w:spacing w:val="10"/>
                <w:sz w:val="24"/>
                <w:szCs w:val="24"/>
              </w:rPr>
              <w:lastRenderedPageBreak/>
              <w:t>素</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lastRenderedPageBreak/>
              <w:t>权重</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评分</w:t>
            </w:r>
            <w:r>
              <w:rPr>
                <w:rFonts w:ascii="仿宋_GB2312" w:eastAsia="仿宋_GB2312" w:hint="eastAsia"/>
                <w:spacing w:val="10"/>
                <w:sz w:val="24"/>
                <w:szCs w:val="24"/>
              </w:rPr>
              <w:lastRenderedPageBreak/>
              <w:t>方式</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lastRenderedPageBreak/>
              <w:t>评分准则</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企业资质</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6</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vAlign w:val="center"/>
          </w:tcPr>
          <w:p w:rsidR="009802BE" w:rsidRDefault="009802BE" w:rsidP="006B5F83">
            <w:pPr>
              <w:rPr>
                <w:rFonts w:ascii="仿宋_GB2312" w:eastAsia="仿宋_GB2312"/>
                <w:b/>
                <w:spacing w:val="10"/>
                <w:sz w:val="24"/>
                <w:szCs w:val="24"/>
              </w:rPr>
            </w:pPr>
            <w:r>
              <w:rPr>
                <w:rFonts w:ascii="仿宋_GB2312" w:eastAsia="仿宋_GB2312" w:hint="eastAsia"/>
                <w:b/>
                <w:spacing w:val="10"/>
                <w:sz w:val="24"/>
                <w:szCs w:val="24"/>
              </w:rPr>
              <w:t>评审内容：</w:t>
            </w:r>
          </w:p>
          <w:p w:rsidR="009802BE" w:rsidRPr="00AA704F" w:rsidRDefault="009802BE" w:rsidP="006B5F83">
            <w:pPr>
              <w:pStyle w:val="a3"/>
              <w:widowControl/>
              <w:rPr>
                <w:rFonts w:ascii="仿宋_GB2312" w:eastAsia="仿宋_GB2312" w:hint="eastAsia"/>
                <w:spacing w:val="10"/>
                <w:sz w:val="24"/>
                <w:szCs w:val="24"/>
              </w:rPr>
            </w:pPr>
            <w:r w:rsidRPr="00AA704F">
              <w:rPr>
                <w:rFonts w:ascii="仿宋_GB2312" w:eastAsia="仿宋_GB2312" w:hint="eastAsia"/>
                <w:spacing w:val="10"/>
                <w:sz w:val="24"/>
                <w:szCs w:val="24"/>
              </w:rPr>
              <w:t>考察投标人的软件运维能力，考核与软件经营相关的资质认证证书。</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b/>
                <w:spacing w:val="10"/>
                <w:sz w:val="24"/>
                <w:szCs w:val="24"/>
              </w:rPr>
              <w:t>评分依据</w:t>
            </w:r>
            <w:r>
              <w:rPr>
                <w:rFonts w:ascii="仿宋_GB2312" w:eastAsia="仿宋_GB2312" w:hint="eastAsia"/>
                <w:spacing w:val="10"/>
                <w:sz w:val="24"/>
                <w:szCs w:val="24"/>
              </w:rPr>
              <w:t>：</w:t>
            </w:r>
          </w:p>
          <w:p w:rsidR="009802BE" w:rsidRDefault="009802BE" w:rsidP="009802BE">
            <w:pPr>
              <w:numPr>
                <w:ilvl w:val="0"/>
                <w:numId w:val="2"/>
              </w:numPr>
              <w:snapToGrid w:val="0"/>
              <w:jc w:val="left"/>
              <w:rPr>
                <w:rFonts w:ascii="仿宋_GB2312" w:eastAsia="仿宋_GB2312" w:hint="eastAsia"/>
                <w:spacing w:val="10"/>
                <w:sz w:val="24"/>
                <w:szCs w:val="24"/>
              </w:rPr>
            </w:pPr>
            <w:r>
              <w:rPr>
                <w:rFonts w:ascii="仿宋_GB2312" w:eastAsia="仿宋_GB2312" w:hint="eastAsia"/>
                <w:spacing w:val="10"/>
                <w:sz w:val="24"/>
                <w:szCs w:val="24"/>
              </w:rPr>
              <w:t>提供软件类资质证书的，每项加3分，最高6分。</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2、以上证书均要求提供扫描件（或官方网站截图），原件备查。评分中出现无证明资料或专家无法凭所提供资料判断是否得分的情况，一律作不得分处理。</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2</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同类服务经验</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6</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tcPr>
          <w:p w:rsidR="009802BE" w:rsidRDefault="009802BE" w:rsidP="006B5F83">
            <w:pPr>
              <w:snapToGrid w:val="0"/>
              <w:jc w:val="left"/>
              <w:rPr>
                <w:rFonts w:ascii="仿宋_GB2312" w:eastAsia="仿宋_GB2312"/>
                <w:b/>
                <w:spacing w:val="10"/>
                <w:sz w:val="24"/>
                <w:szCs w:val="24"/>
              </w:rPr>
            </w:pPr>
            <w:r>
              <w:rPr>
                <w:rFonts w:ascii="仿宋_GB2312" w:eastAsia="仿宋_GB2312" w:hint="eastAsia"/>
                <w:b/>
                <w:spacing w:val="10"/>
                <w:sz w:val="24"/>
                <w:szCs w:val="24"/>
              </w:rPr>
              <w:t>评分内容：</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考察投标人在软件运维项目的经验情况。</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b/>
                <w:spacing w:val="10"/>
                <w:sz w:val="24"/>
                <w:szCs w:val="24"/>
              </w:rPr>
              <w:t>评分依据</w:t>
            </w:r>
            <w:r>
              <w:rPr>
                <w:rFonts w:ascii="仿宋_GB2312" w:eastAsia="仿宋_GB2312" w:hint="eastAsia"/>
                <w:spacing w:val="10"/>
                <w:sz w:val="24"/>
                <w:szCs w:val="24"/>
              </w:rPr>
              <w:t>：</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1、提供合同关键页作为证明材料，每份得2分，最高6分，不提供的不得分。</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2.提供合同关键页作为证明材料。</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3.以上资料均要求加盖投标人公章，原件备查。评分中出现无证明资料或专家无法凭所提供资料判断是否得分的情况，一律作不得分处理。</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3</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诚信评价</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10</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tcPr>
          <w:p w:rsidR="009802BE" w:rsidRDefault="009802BE" w:rsidP="006B5F83">
            <w:pPr>
              <w:snapToGrid w:val="0"/>
              <w:jc w:val="left"/>
              <w:rPr>
                <w:rFonts w:ascii="仿宋_GB2312" w:eastAsia="仿宋_GB2312"/>
                <w:b/>
                <w:spacing w:val="10"/>
                <w:sz w:val="24"/>
                <w:szCs w:val="24"/>
              </w:rPr>
            </w:pPr>
            <w:r>
              <w:rPr>
                <w:rFonts w:ascii="仿宋_GB2312" w:eastAsia="仿宋_GB2312" w:hint="eastAsia"/>
                <w:b/>
                <w:spacing w:val="10"/>
                <w:sz w:val="24"/>
                <w:szCs w:val="24"/>
              </w:rPr>
              <w:t>评分内容：</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考察投标人诚信情况。</w:t>
            </w:r>
          </w:p>
          <w:p w:rsidR="009802BE" w:rsidRDefault="009802BE" w:rsidP="006B5F83">
            <w:pPr>
              <w:snapToGrid w:val="0"/>
              <w:jc w:val="left"/>
              <w:rPr>
                <w:rFonts w:ascii="仿宋_GB2312" w:eastAsia="仿宋_GB2312" w:hint="eastAsia"/>
                <w:b/>
                <w:spacing w:val="10"/>
                <w:sz w:val="24"/>
                <w:szCs w:val="24"/>
              </w:rPr>
            </w:pPr>
            <w:r>
              <w:rPr>
                <w:rFonts w:ascii="仿宋_GB2312" w:eastAsia="仿宋_GB2312" w:hint="eastAsia"/>
                <w:b/>
                <w:spacing w:val="10"/>
                <w:sz w:val="24"/>
                <w:szCs w:val="24"/>
              </w:rPr>
              <w:t>评分依据：</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证明材料：需提供诚信承诺函，格式自拟，加盖投标人公章扫描件或复印件，原件备查。</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4</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宋体" w:eastAsia="仿宋_GB2312" w:hAnsi="宋体" w:cs="宋体"/>
                <w:sz w:val="24"/>
                <w:szCs w:val="24"/>
              </w:rPr>
            </w:pPr>
            <w:r>
              <w:rPr>
                <w:rFonts w:ascii="仿宋_GB2312" w:eastAsia="仿宋_GB2312" w:hAnsi="宋体" w:cs="宋体" w:hint="eastAsia"/>
                <w:sz w:val="24"/>
                <w:szCs w:val="24"/>
              </w:rPr>
              <w:t>培训团队建设</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10</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tcPr>
          <w:p w:rsidR="009802BE" w:rsidRDefault="009802BE" w:rsidP="006B5F83">
            <w:pPr>
              <w:snapToGrid w:val="0"/>
              <w:jc w:val="left"/>
              <w:rPr>
                <w:rFonts w:ascii="仿宋_GB2312" w:eastAsia="仿宋_GB2312"/>
                <w:b/>
                <w:spacing w:val="10"/>
                <w:sz w:val="24"/>
                <w:szCs w:val="24"/>
              </w:rPr>
            </w:pPr>
            <w:r>
              <w:rPr>
                <w:rFonts w:ascii="仿宋_GB2312" w:eastAsia="仿宋_GB2312" w:hint="eastAsia"/>
                <w:b/>
                <w:spacing w:val="10"/>
                <w:sz w:val="24"/>
                <w:szCs w:val="24"/>
              </w:rPr>
              <w:t>评分内容：</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考察投标人在该项运维项目中的团队建设情况。</w:t>
            </w:r>
          </w:p>
          <w:p w:rsidR="009802BE" w:rsidRDefault="009802BE" w:rsidP="006B5F83">
            <w:pPr>
              <w:snapToGrid w:val="0"/>
              <w:jc w:val="left"/>
              <w:rPr>
                <w:rFonts w:ascii="仿宋_GB2312" w:eastAsia="仿宋_GB2312" w:hint="eastAsia"/>
                <w:b/>
                <w:spacing w:val="10"/>
                <w:sz w:val="24"/>
                <w:szCs w:val="24"/>
              </w:rPr>
            </w:pPr>
            <w:r>
              <w:rPr>
                <w:rFonts w:ascii="仿宋_GB2312" w:eastAsia="仿宋_GB2312" w:hint="eastAsia"/>
                <w:b/>
                <w:spacing w:val="10"/>
                <w:sz w:val="24"/>
                <w:szCs w:val="24"/>
              </w:rPr>
              <w:t>评分依据;</w:t>
            </w:r>
          </w:p>
          <w:p w:rsidR="009802BE" w:rsidRDefault="009802BE" w:rsidP="009802BE">
            <w:pPr>
              <w:numPr>
                <w:ilvl w:val="0"/>
                <w:numId w:val="3"/>
              </w:numPr>
              <w:snapToGrid w:val="0"/>
              <w:jc w:val="left"/>
              <w:rPr>
                <w:rFonts w:ascii="仿宋_GB2312" w:eastAsia="仿宋_GB2312" w:hint="eastAsia"/>
                <w:spacing w:val="10"/>
                <w:sz w:val="24"/>
                <w:szCs w:val="24"/>
              </w:rPr>
            </w:pPr>
            <w:r>
              <w:rPr>
                <w:rFonts w:ascii="仿宋_GB2312" w:eastAsia="仿宋_GB2312" w:hint="eastAsia"/>
                <w:spacing w:val="10"/>
                <w:sz w:val="24"/>
                <w:szCs w:val="24"/>
              </w:rPr>
              <w:t>团队成员结构合理；</w:t>
            </w:r>
          </w:p>
          <w:p w:rsidR="009802BE" w:rsidRDefault="009802BE" w:rsidP="009802BE">
            <w:pPr>
              <w:numPr>
                <w:ilvl w:val="0"/>
                <w:numId w:val="3"/>
              </w:numPr>
              <w:snapToGrid w:val="0"/>
              <w:jc w:val="left"/>
              <w:rPr>
                <w:rFonts w:ascii="仿宋_GB2312" w:eastAsia="仿宋_GB2312" w:hint="eastAsia"/>
                <w:spacing w:val="10"/>
                <w:sz w:val="24"/>
                <w:szCs w:val="24"/>
              </w:rPr>
            </w:pPr>
            <w:r>
              <w:rPr>
                <w:rFonts w:ascii="仿宋_GB2312" w:eastAsia="仿宋_GB2312" w:hint="eastAsia"/>
                <w:spacing w:val="10"/>
                <w:sz w:val="24"/>
                <w:szCs w:val="24"/>
              </w:rPr>
              <w:t>团队成员足以胜任该运维项目；</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满足以上两项得10分，满足其中一项得5分，其它不得分</w:t>
            </w:r>
          </w:p>
        </w:tc>
      </w:tr>
      <w:tr w:rsidR="009802BE" w:rsidTr="006B5F83">
        <w:trPr>
          <w:trHeight w:val="63"/>
        </w:trPr>
        <w:tc>
          <w:tcPr>
            <w:tcW w:w="822" w:type="dxa"/>
            <w:tcBorders>
              <w:top w:val="single" w:sz="4" w:space="0" w:color="auto"/>
              <w:left w:val="single" w:sz="4" w:space="0" w:color="auto"/>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p>
        </w:tc>
        <w:tc>
          <w:tcPr>
            <w:tcW w:w="66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5</w:t>
            </w:r>
          </w:p>
        </w:tc>
        <w:tc>
          <w:tcPr>
            <w:tcW w:w="1106"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Ansi="宋体" w:cs="宋体" w:hint="eastAsia"/>
                <w:sz w:val="24"/>
                <w:szCs w:val="24"/>
              </w:rPr>
              <w:t>综合评价</w:t>
            </w:r>
          </w:p>
        </w:tc>
        <w:tc>
          <w:tcPr>
            <w:tcW w:w="808"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8</w:t>
            </w:r>
          </w:p>
        </w:tc>
        <w:tc>
          <w:tcPr>
            <w:tcW w:w="967" w:type="dxa"/>
            <w:tcBorders>
              <w:top w:val="single" w:sz="4" w:space="0" w:color="auto"/>
              <w:left w:val="nil"/>
              <w:bottom w:val="single" w:sz="4" w:space="0" w:color="auto"/>
              <w:right w:val="single" w:sz="4" w:space="0" w:color="auto"/>
            </w:tcBorders>
            <w:vAlign w:val="center"/>
          </w:tcPr>
          <w:p w:rsidR="009802BE" w:rsidRDefault="009802BE" w:rsidP="006B5F83">
            <w:pPr>
              <w:snapToGrid w:val="0"/>
              <w:jc w:val="center"/>
              <w:rPr>
                <w:rFonts w:ascii="仿宋_GB2312" w:eastAsia="仿宋_GB2312"/>
                <w:spacing w:val="10"/>
                <w:sz w:val="24"/>
                <w:szCs w:val="24"/>
              </w:rPr>
            </w:pPr>
            <w:r>
              <w:rPr>
                <w:rFonts w:ascii="仿宋_GB2312" w:eastAsia="仿宋_GB2312" w:hint="eastAsia"/>
                <w:spacing w:val="10"/>
                <w:sz w:val="24"/>
                <w:szCs w:val="24"/>
              </w:rPr>
              <w:t>专家打分</w:t>
            </w:r>
          </w:p>
        </w:tc>
        <w:tc>
          <w:tcPr>
            <w:tcW w:w="4668" w:type="dxa"/>
            <w:tcBorders>
              <w:top w:val="single" w:sz="4" w:space="0" w:color="auto"/>
              <w:left w:val="nil"/>
              <w:bottom w:val="single" w:sz="4" w:space="0" w:color="auto"/>
              <w:right w:val="single" w:sz="4" w:space="0" w:color="auto"/>
            </w:tcBorders>
          </w:tcPr>
          <w:p w:rsidR="009802BE" w:rsidRDefault="009802BE" w:rsidP="006B5F83">
            <w:pPr>
              <w:snapToGrid w:val="0"/>
              <w:jc w:val="left"/>
              <w:rPr>
                <w:rFonts w:ascii="仿宋_GB2312" w:eastAsia="仿宋_GB2312"/>
                <w:b/>
                <w:spacing w:val="10"/>
                <w:sz w:val="24"/>
                <w:szCs w:val="24"/>
              </w:rPr>
            </w:pPr>
            <w:r>
              <w:rPr>
                <w:rFonts w:ascii="仿宋_GB2312" w:eastAsia="仿宋_GB2312" w:hint="eastAsia"/>
                <w:b/>
                <w:spacing w:val="10"/>
                <w:sz w:val="24"/>
                <w:szCs w:val="24"/>
              </w:rPr>
              <w:t>评分内容：</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spacing w:val="10"/>
                <w:sz w:val="24"/>
                <w:szCs w:val="24"/>
              </w:rPr>
              <w:t>为保障该运维项目的顺利实施，对投标人的其他情况进行综合评价。</w:t>
            </w:r>
          </w:p>
          <w:p w:rsidR="009802BE" w:rsidRDefault="009802BE" w:rsidP="006B5F83">
            <w:pPr>
              <w:snapToGrid w:val="0"/>
              <w:jc w:val="left"/>
              <w:rPr>
                <w:rFonts w:ascii="仿宋_GB2312" w:eastAsia="仿宋_GB2312" w:hint="eastAsia"/>
                <w:spacing w:val="10"/>
                <w:sz w:val="24"/>
                <w:szCs w:val="24"/>
              </w:rPr>
            </w:pPr>
            <w:r>
              <w:rPr>
                <w:rFonts w:ascii="仿宋_GB2312" w:eastAsia="仿宋_GB2312" w:hint="eastAsia"/>
                <w:b/>
                <w:spacing w:val="10"/>
                <w:sz w:val="24"/>
                <w:szCs w:val="24"/>
              </w:rPr>
              <w:t>评分依据</w:t>
            </w:r>
            <w:r>
              <w:rPr>
                <w:rFonts w:ascii="仿宋_GB2312" w:eastAsia="仿宋_GB2312" w:hint="eastAsia"/>
                <w:spacing w:val="10"/>
                <w:sz w:val="24"/>
                <w:szCs w:val="24"/>
              </w:rPr>
              <w:t>：</w:t>
            </w:r>
          </w:p>
          <w:p w:rsidR="009802BE" w:rsidRDefault="009802BE" w:rsidP="006B5F83">
            <w:pPr>
              <w:snapToGrid w:val="0"/>
              <w:jc w:val="left"/>
              <w:rPr>
                <w:rFonts w:ascii="仿宋_GB2312" w:eastAsia="仿宋_GB2312"/>
                <w:spacing w:val="10"/>
                <w:sz w:val="24"/>
                <w:szCs w:val="24"/>
              </w:rPr>
            </w:pPr>
            <w:r>
              <w:rPr>
                <w:rFonts w:ascii="仿宋_GB2312" w:eastAsia="仿宋_GB2312" w:hint="eastAsia"/>
                <w:spacing w:val="10"/>
                <w:sz w:val="24"/>
                <w:szCs w:val="24"/>
              </w:rPr>
              <w:t>对服务承诺的保障措施，可实现程度，满足采购人的要求程度，投标人提供的售后维护机构和人员等情况，运维服务方案、运维服务承诺的可行性、完整性，后续技术支持和维护能力情况等。综合评价为优：8分；良：6分；一般：5分，差：3</w:t>
            </w:r>
          </w:p>
        </w:tc>
      </w:tr>
    </w:tbl>
    <w:p w:rsidR="00602184" w:rsidRPr="009802BE" w:rsidRDefault="009802BE"/>
    <w:sectPr w:rsidR="00602184" w:rsidRPr="00980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461"/>
    <w:multiLevelType w:val="multilevel"/>
    <w:tmpl w:val="10A5346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2E757C1E"/>
    <w:multiLevelType w:val="multilevel"/>
    <w:tmpl w:val="2E757C1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67393ACA"/>
    <w:multiLevelType w:val="multilevel"/>
    <w:tmpl w:val="67393ACA"/>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BE"/>
    <w:rsid w:val="009802BE"/>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B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sid w:val="009802BE"/>
    <w:rPr>
      <w:rFonts w:ascii="Times New Roman" w:hAnsi="Times New Roman"/>
    </w:rPr>
  </w:style>
  <w:style w:type="paragraph" w:styleId="a3">
    <w:name w:val="annotation text"/>
    <w:basedOn w:val="a"/>
    <w:link w:val="Char"/>
    <w:uiPriority w:val="99"/>
    <w:unhideWhenUsed/>
    <w:rsid w:val="009802BE"/>
    <w:pPr>
      <w:jc w:val="left"/>
    </w:pPr>
    <w:rPr>
      <w:rFonts w:ascii="Times New Roman" w:eastAsiaTheme="minorEastAsia" w:hAnsi="Times New Roman" w:cstheme="minorBidi"/>
      <w:szCs w:val="22"/>
    </w:rPr>
  </w:style>
  <w:style w:type="character" w:customStyle="1" w:styleId="Char1">
    <w:name w:val="批注文字 Char1"/>
    <w:basedOn w:val="a0"/>
    <w:uiPriority w:val="99"/>
    <w:semiHidden/>
    <w:rsid w:val="009802BE"/>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B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sid w:val="009802BE"/>
    <w:rPr>
      <w:rFonts w:ascii="Times New Roman" w:hAnsi="Times New Roman"/>
    </w:rPr>
  </w:style>
  <w:style w:type="paragraph" w:styleId="a3">
    <w:name w:val="annotation text"/>
    <w:basedOn w:val="a"/>
    <w:link w:val="Char"/>
    <w:uiPriority w:val="99"/>
    <w:unhideWhenUsed/>
    <w:rsid w:val="009802BE"/>
    <w:pPr>
      <w:jc w:val="left"/>
    </w:pPr>
    <w:rPr>
      <w:rFonts w:ascii="Times New Roman" w:eastAsiaTheme="minorEastAsia" w:hAnsi="Times New Roman" w:cstheme="minorBidi"/>
      <w:szCs w:val="22"/>
    </w:rPr>
  </w:style>
  <w:style w:type="character" w:customStyle="1" w:styleId="Char1">
    <w:name w:val="批注文字 Char1"/>
    <w:basedOn w:val="a0"/>
    <w:uiPriority w:val="99"/>
    <w:semiHidden/>
    <w:rsid w:val="009802BE"/>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1168</Characters>
  <Application>Microsoft Office Word</Application>
  <DocSecurity>0</DocSecurity>
  <Lines>9</Lines>
  <Paragraphs>2</Paragraphs>
  <ScaleCrop>false</ScaleCrop>
  <Company>P R C</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2021-12-07T07:04:00Z</dcterms:created>
  <dcterms:modified xsi:type="dcterms:W3CDTF">2021-12-07T07:04:00Z</dcterms:modified>
</cp:coreProperties>
</file>