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05" w:rsidRDefault="009C3205" w:rsidP="009C320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9C3205" w:rsidRDefault="009C3205" w:rsidP="009C3205">
      <w:pPr>
        <w:ind w:firstLineChars="1200" w:firstLine="3855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评分细则</w:t>
      </w:r>
    </w:p>
    <w:tbl>
      <w:tblPr>
        <w:tblW w:w="5204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7373"/>
      </w:tblGrid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bookmarkEnd w:id="0"/>
          <w:p w:rsidR="009C3205" w:rsidRDefault="009C3205" w:rsidP="00FA322C">
            <w:pPr>
              <w:widowControl/>
              <w:wordWrap w:val="0"/>
              <w:spacing w:line="320" w:lineRule="exact"/>
              <w:ind w:firstLineChars="100" w:firstLine="275"/>
              <w:rPr>
                <w:rFonts w:ascii="仿宋" w:eastAsia="仿宋" w:hAnsi="仿宋" w:cs="仿宋"/>
                <w:b/>
                <w:bCs/>
                <w:color w:val="333333"/>
                <w:spacing w:val="1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17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ind w:firstLineChars="1100" w:firstLine="3024"/>
              <w:rPr>
                <w:rFonts w:ascii="仿宋" w:eastAsia="仿宋" w:hAnsi="仿宋" w:cs="仿宋"/>
                <w:b/>
                <w:bCs/>
                <w:color w:val="333333"/>
                <w:spacing w:val="1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pacing w:val="17"/>
                <w:kern w:val="0"/>
                <w:sz w:val="24"/>
                <w:szCs w:val="24"/>
                <w:lang w:bidi="ar"/>
              </w:rPr>
              <w:t>评标细则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投标报价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以所有有效投标文件投标报价平均值为评标基准价，投标报价等于评标基准价的，得满分25分，投标报价比评标基准价每高1%扣0.5分，每低1%扣0.3分，依此类推；不足部分按插入法计分(保留两位小数)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投标人实力（10分）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1、投标人获得工程咨询甲级资信等级得6分，获得工程咨询乙级资信等级得3分。（提供资信证书原件，复印件加盖公章编入投标文件中，否则不得分。）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2、投标人具有质量管理体系认证得2分；具有环境管理体系认证、职业健康安全管理体系认证的，每有一项得1分。最多得4分。（提供认证证书原件，复印件加盖公章编入投标文件中，否则不得分。）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企业业绩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2018年1月1日以来，企业承担过类似安全咨询技术服务类业绩；每个得3分，满分15分；（时间以合同为准，提供合同原件，复印件加盖公章编入投标文件中。提供的业绩证明材料必须反映出相关数据和内容，否则视为未提供。企业业绩和项目负责人业绩可以兼得。）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项目驻点人员情况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_GB2312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（5分 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标人须提供《委派专职驻点人员承诺函》承诺下述提供的驻点人员为本项目的专职驻点服务人员。不提供承诺函，本项不得分。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1.具有中级以上专业技术职称得2分；每有一项得1分，最高累计不超过4分；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2、具有相关工作相关服务经验，得1分。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（提供《委派专职驻点人员承诺函》、职称证书、合同关键页或《说明及承诺函》等相关证明资料作为得分依据。）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项目重点难点分析、应对措施及相关的合理化建议（5分）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根据投标人对该项目的重点和难点问题把握及分析、应对措施及合理化建议进行横向比较。投标文件紧密围绕项目的实际情况进行重点和难点分析，分析系统深入，提出的应对措施以及合理化建议针对性强，可行性高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评价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为优得10分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；评价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为良得8分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；评价为中得6分；评价为差不得分。专家按百分制打分。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项目负责人（10分）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1、2018年1月1日以来，投标人拟投入本项目的项目负责人承担过安全咨询技术服务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类业绩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的，每个得2.5分，满分5分；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2、项目负责人具有高级或以上技术职称的，每个得2.5分，满分5</w:t>
            </w: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lastRenderedPageBreak/>
              <w:t>分；时间以合同为准，提供合同原件，复印件加盖公章编入投标文件中。提供的业绩证明材料必须反映出相关数据和内容，否则视为未提供。项目负责人业绩必须是投标人承接的。企业业绩和项目负责人业绩可以兼得。）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lastRenderedPageBreak/>
              <w:t>人员配置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除项目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负责人以外项目团队组成员：有高级工程师及以上职称资格的，每个得2分；有工程师职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称资格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的，每个得1分。该项只计取3个人，最多得6分。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2、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除项目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负责人以外项目团队持有国家注册安全工程师执业资格的 ，每个得1分，最多得4分。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两项1人可重复得分，以上须提供职称证及注册证书的复印件编入投标文件中，如若评标委员会有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疑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议，须进行查验。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服务方案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1、对招标人项目需求的理解度：准确理解招标人项目需求，安全管理体系及理念符合招标人定位。满分5分。优5分，良4分，中3分，差2分，无0分。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2、完整性：方案能对招标书中提出的各项服务内容进行完整、合理地阐述。满分5分。优5分，良4分，中3分，差2分，无0分。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3、可行性：方案总体思路清晰、逻辑合理、具备可执行性和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可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推广性。满分5分。优5分，良4分，中3分，差2分，无0分。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应急措施方案（10分）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1、对招标项目能提出专业性意见，方案能充分体现投标人在安全管理标准化体系咨询的专业能力。满分5分。优5分，良4分，中3分，差2分，无0分。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2、对招标项目有创新性意见，相关模型设计较为合理，具有一定的前瞻性和创新性。满分5分。优5分，良4分，中3分，差2分，无0分。</w:t>
            </w:r>
          </w:p>
        </w:tc>
      </w:tr>
      <w:tr w:rsidR="009C3205" w:rsidTr="00FA322C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服务承诺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（5分）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9C3205" w:rsidRDefault="009C3205" w:rsidP="00FA322C">
            <w:pPr>
              <w:widowControl/>
              <w:wordWrap w:val="0"/>
              <w:spacing w:line="320" w:lineRule="exact"/>
              <w:ind w:firstLineChars="200" w:firstLine="488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7"/>
                <w:kern w:val="0"/>
                <w:szCs w:val="21"/>
              </w:rPr>
              <w:t>投标人提供服务承诺，辅导落地服务措施明确合理、履行保密义务、提供超预期的增值服务。满分5分。优5分，良4分，中3分，差2分，无0分。</w:t>
            </w:r>
          </w:p>
          <w:p w:rsidR="009C3205" w:rsidRDefault="009C3205" w:rsidP="00FA322C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" w:eastAsia="仿宋" w:hAnsi="仿宋" w:cs="仿宋"/>
                <w:color w:val="333333"/>
                <w:spacing w:val="17"/>
                <w:kern w:val="0"/>
                <w:szCs w:val="21"/>
              </w:rPr>
            </w:pPr>
          </w:p>
        </w:tc>
      </w:tr>
    </w:tbl>
    <w:p w:rsidR="009C3205" w:rsidRDefault="009C3205" w:rsidP="009C3205">
      <w:pPr>
        <w:rPr>
          <w:rFonts w:ascii="仿宋" w:eastAsia="仿宋" w:hAnsi="仿宋"/>
          <w:sz w:val="32"/>
          <w:szCs w:val="32"/>
        </w:rPr>
      </w:pPr>
    </w:p>
    <w:p w:rsidR="009C3205" w:rsidRDefault="009C3205" w:rsidP="009C3205"/>
    <w:p w:rsidR="009C3205" w:rsidRDefault="009C3205" w:rsidP="009C3205"/>
    <w:p w:rsidR="00602184" w:rsidRPr="009C3205" w:rsidRDefault="009C3205"/>
    <w:sectPr w:rsidR="00602184" w:rsidRPr="009C32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05"/>
    <w:rsid w:val="009C3205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0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P R C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2021-08-06T08:38:00Z</dcterms:created>
  <dcterms:modified xsi:type="dcterms:W3CDTF">2021-08-06T08:38:00Z</dcterms:modified>
</cp:coreProperties>
</file>