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DB" w:rsidRDefault="003953DB" w:rsidP="003953DB">
      <w:pPr>
        <w:ind w:firstLineChars="200" w:firstLine="640"/>
      </w:pPr>
      <w:r>
        <w:rPr>
          <w:rFonts w:hint="eastAsia"/>
        </w:rPr>
        <w:t>附件：</w:t>
      </w:r>
    </w:p>
    <w:p w:rsidR="003953DB" w:rsidRPr="00491A9E" w:rsidRDefault="003953DB" w:rsidP="003953DB">
      <w:pPr>
        <w:jc w:val="center"/>
        <w:rPr>
          <w:rFonts w:ascii="仿宋" w:eastAsia="仿宋" w:hAnsi="仿宋"/>
          <w:b/>
          <w:bCs/>
        </w:rPr>
      </w:pPr>
      <w:bookmarkStart w:id="0" w:name="_GoBack"/>
      <w:r w:rsidRPr="00491A9E">
        <w:rPr>
          <w:rFonts w:ascii="仿宋" w:eastAsia="仿宋" w:hAnsi="仿宋" w:hint="eastAsia"/>
          <w:b/>
          <w:bCs/>
        </w:rPr>
        <w:t>评分细则表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50"/>
        <w:gridCol w:w="1647"/>
        <w:gridCol w:w="791"/>
        <w:gridCol w:w="5529"/>
      </w:tblGrid>
      <w:tr w:rsidR="003953DB" w:rsidRPr="00F42899" w:rsidTr="006C49DB">
        <w:trPr>
          <w:trHeight w:val="695"/>
        </w:trPr>
        <w:tc>
          <w:tcPr>
            <w:tcW w:w="522" w:type="dxa"/>
            <w:tcBorders>
              <w:top w:val="single" w:sz="4" w:space="0" w:color="auto"/>
              <w:left w:val="single" w:sz="4" w:space="0" w:color="auto"/>
              <w:bottom w:val="single" w:sz="4" w:space="0" w:color="auto"/>
              <w:right w:val="single" w:sz="4" w:space="0" w:color="auto"/>
            </w:tcBorders>
            <w:hideMark/>
          </w:tcPr>
          <w:bookmarkEnd w:id="0"/>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序号</w:t>
            </w:r>
          </w:p>
        </w:tc>
        <w:tc>
          <w:tcPr>
            <w:tcW w:w="2988" w:type="dxa"/>
            <w:gridSpan w:val="3"/>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评分项</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权重</w:t>
            </w:r>
          </w:p>
        </w:tc>
      </w:tr>
      <w:tr w:rsidR="003953DB" w:rsidRPr="00F42899" w:rsidTr="006C49DB">
        <w:tc>
          <w:tcPr>
            <w:tcW w:w="522" w:type="dxa"/>
            <w:tcBorders>
              <w:top w:val="single" w:sz="4" w:space="0" w:color="auto"/>
              <w:left w:val="single" w:sz="4" w:space="0" w:color="auto"/>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1</w:t>
            </w:r>
          </w:p>
        </w:tc>
        <w:tc>
          <w:tcPr>
            <w:tcW w:w="2988" w:type="dxa"/>
            <w:gridSpan w:val="3"/>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价格</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25</w:t>
            </w:r>
          </w:p>
        </w:tc>
      </w:tr>
      <w:tr w:rsidR="003953DB" w:rsidRPr="00F42899" w:rsidTr="006C49DB">
        <w:tc>
          <w:tcPr>
            <w:tcW w:w="522" w:type="dxa"/>
            <w:tcBorders>
              <w:top w:val="single" w:sz="4" w:space="0" w:color="auto"/>
              <w:left w:val="single" w:sz="4" w:space="0" w:color="auto"/>
              <w:bottom w:val="single" w:sz="4" w:space="0" w:color="auto"/>
              <w:right w:val="single" w:sz="4" w:space="0" w:color="auto"/>
            </w:tcBorders>
          </w:tcPr>
          <w:p w:rsidR="003953DB" w:rsidRPr="00F42899" w:rsidRDefault="003953DB" w:rsidP="006C49DB">
            <w:pPr>
              <w:jc w:val="center"/>
              <w:rPr>
                <w:rFonts w:ascii="宋体" w:hAnsi="宋体" w:cs="Calibri"/>
                <w:sz w:val="22"/>
                <w:szCs w:val="24"/>
              </w:rPr>
            </w:pPr>
          </w:p>
        </w:tc>
        <w:tc>
          <w:tcPr>
            <w:tcW w:w="8517" w:type="dxa"/>
            <w:gridSpan w:val="4"/>
            <w:tcBorders>
              <w:top w:val="single" w:sz="4" w:space="0" w:color="auto"/>
              <w:left w:val="nil"/>
              <w:bottom w:val="single" w:sz="4" w:space="0" w:color="auto"/>
              <w:right w:val="single" w:sz="4" w:space="0" w:color="auto"/>
            </w:tcBorders>
            <w:hideMark/>
          </w:tcPr>
          <w:p w:rsidR="003953DB" w:rsidRPr="00F42899" w:rsidRDefault="003953DB" w:rsidP="006C49DB">
            <w:pPr>
              <w:rPr>
                <w:rFonts w:ascii="宋体" w:hAnsi="宋体" w:cs="Calibri"/>
                <w:sz w:val="22"/>
                <w:szCs w:val="24"/>
              </w:rPr>
            </w:pPr>
            <w:r w:rsidRPr="00F42899">
              <w:rPr>
                <w:rFonts w:ascii="宋体" w:hAnsi="宋体" w:hint="eastAsia"/>
                <w:sz w:val="22"/>
                <w:szCs w:val="24"/>
              </w:rPr>
              <w:t>根据《政府采购货物和服务招标投标管理办法》（财政部令第87号）采用低价优先法，即满足招标文件要求且投标价格最低的投标报价为评标基准价，其价格分为满分。其他投标人的价格</w:t>
            </w:r>
            <w:proofErr w:type="gramStart"/>
            <w:r w:rsidRPr="00F42899">
              <w:rPr>
                <w:rFonts w:ascii="宋体" w:hAnsi="宋体" w:hint="eastAsia"/>
                <w:sz w:val="22"/>
                <w:szCs w:val="24"/>
              </w:rPr>
              <w:t>分按照</w:t>
            </w:r>
            <w:proofErr w:type="gramEnd"/>
            <w:r w:rsidRPr="00F42899">
              <w:rPr>
                <w:rFonts w:ascii="宋体" w:hAnsi="宋体" w:hint="eastAsia"/>
                <w:sz w:val="22"/>
                <w:szCs w:val="24"/>
              </w:rPr>
              <w:t>下列公式计算：</w:t>
            </w:r>
          </w:p>
          <w:p w:rsidR="003953DB" w:rsidRPr="00F42899" w:rsidRDefault="003953DB" w:rsidP="006C49DB">
            <w:pPr>
              <w:rPr>
                <w:rFonts w:ascii="宋体" w:hAnsi="宋体"/>
                <w:sz w:val="22"/>
                <w:szCs w:val="24"/>
              </w:rPr>
            </w:pPr>
            <w:r w:rsidRPr="00F42899">
              <w:rPr>
                <w:rFonts w:ascii="宋体" w:hAnsi="宋体" w:hint="eastAsia"/>
                <w:sz w:val="22"/>
                <w:szCs w:val="24"/>
              </w:rPr>
              <w:t>投标报价得分=(评标基准价／投标报价)×价格分权重</w:t>
            </w:r>
          </w:p>
          <w:p w:rsidR="003953DB" w:rsidRPr="00F42899" w:rsidRDefault="003953DB" w:rsidP="006C49DB">
            <w:pPr>
              <w:rPr>
                <w:rFonts w:ascii="宋体" w:hAnsi="宋体"/>
                <w:bCs/>
                <w:kern w:val="0"/>
                <w:sz w:val="22"/>
                <w:szCs w:val="24"/>
              </w:rPr>
            </w:pPr>
            <w:r w:rsidRPr="00F42899">
              <w:rPr>
                <w:rFonts w:ascii="宋体" w:hAnsi="宋体" w:hint="eastAsia"/>
                <w:bCs/>
                <w:kern w:val="0"/>
                <w:sz w:val="22"/>
                <w:szCs w:val="24"/>
              </w:rPr>
              <w:t>注：根据财库〔2011〕181号、[2014]68号、财库[2017]141号文件规定：本项目非专门面向中小企业的项目，对小型和微型企业的投标报价扣除10%后参与评审，对残疾人福利性单位和监狱企业的投标报价扣除10%后参与评审。</w:t>
            </w:r>
          </w:p>
          <w:p w:rsidR="003953DB" w:rsidRPr="00F42899" w:rsidRDefault="003953DB" w:rsidP="006C49DB">
            <w:pPr>
              <w:jc w:val="left"/>
              <w:rPr>
                <w:rFonts w:ascii="宋体" w:hAnsi="宋体" w:cs="Calibri"/>
                <w:sz w:val="22"/>
                <w:szCs w:val="24"/>
              </w:rPr>
            </w:pPr>
            <w:r w:rsidRPr="00F42899">
              <w:rPr>
                <w:rFonts w:ascii="宋体" w:hAnsi="宋体" w:hint="eastAsia"/>
                <w:bCs/>
                <w:kern w:val="0"/>
                <w:sz w:val="22"/>
                <w:szCs w:val="24"/>
              </w:rPr>
              <w:t>监狱企业应当提供由省级以上监狱管理局、戒毒管理局（含新疆生产建设兵团）出具的属于监狱企业的证明文件，中小企业提供中小企业声明函，残疾人福利性企业提供残疾人福利性企业声明函。</w:t>
            </w:r>
          </w:p>
        </w:tc>
      </w:tr>
      <w:tr w:rsidR="003953DB" w:rsidRPr="00F42899" w:rsidTr="006C49DB">
        <w:tc>
          <w:tcPr>
            <w:tcW w:w="522" w:type="dxa"/>
            <w:tcBorders>
              <w:top w:val="single" w:sz="4" w:space="0" w:color="auto"/>
              <w:left w:val="single" w:sz="4" w:space="0" w:color="auto"/>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2</w:t>
            </w:r>
          </w:p>
        </w:tc>
        <w:tc>
          <w:tcPr>
            <w:tcW w:w="2988" w:type="dxa"/>
            <w:gridSpan w:val="3"/>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技术</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44</w:t>
            </w:r>
          </w:p>
        </w:tc>
      </w:tr>
      <w:tr w:rsidR="003953DB" w:rsidRPr="00F42899" w:rsidTr="006C49DB">
        <w:trPr>
          <w:trHeight w:val="63"/>
        </w:trPr>
        <w:tc>
          <w:tcPr>
            <w:tcW w:w="522" w:type="dxa"/>
            <w:vMerge w:val="restart"/>
            <w:tcBorders>
              <w:top w:val="nil"/>
              <w:left w:val="single" w:sz="4" w:space="0" w:color="auto"/>
              <w:bottom w:val="single" w:sz="4" w:space="0" w:color="auto"/>
              <w:right w:val="single" w:sz="4" w:space="0" w:color="auto"/>
            </w:tcBorders>
          </w:tcPr>
          <w:p w:rsidR="003953DB" w:rsidRPr="00F42899" w:rsidRDefault="003953DB" w:rsidP="006C49DB">
            <w:pPr>
              <w:jc w:val="center"/>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行号</w:t>
            </w:r>
          </w:p>
        </w:tc>
        <w:tc>
          <w:tcPr>
            <w:tcW w:w="1647"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内容</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权重</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评分准则</w:t>
            </w:r>
          </w:p>
        </w:tc>
      </w:tr>
      <w:tr w:rsidR="003953DB" w:rsidRPr="00F42899" w:rsidTr="006C49DB">
        <w:trPr>
          <w:trHeight w:val="513"/>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550" w:type="dxa"/>
            <w:vMerge w:val="restart"/>
            <w:tcBorders>
              <w:top w:val="nil"/>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1</w:t>
            </w:r>
          </w:p>
        </w:tc>
        <w:tc>
          <w:tcPr>
            <w:tcW w:w="1647" w:type="dxa"/>
            <w:vMerge w:val="restart"/>
            <w:tcBorders>
              <w:top w:val="nil"/>
              <w:left w:val="nil"/>
              <w:bottom w:val="single" w:sz="4" w:space="0" w:color="auto"/>
              <w:right w:val="single" w:sz="4" w:space="0" w:color="auto"/>
            </w:tcBorders>
            <w:hideMark/>
          </w:tcPr>
          <w:p w:rsidR="003953DB" w:rsidRPr="00F42899" w:rsidRDefault="003953DB" w:rsidP="006C49DB">
            <w:pPr>
              <w:jc w:val="left"/>
              <w:rPr>
                <w:rFonts w:ascii="宋体" w:hAnsi="宋体" w:cs="Calibri"/>
                <w:sz w:val="22"/>
                <w:szCs w:val="24"/>
              </w:rPr>
            </w:pPr>
            <w:r w:rsidRPr="00F42899">
              <w:rPr>
                <w:rFonts w:ascii="宋体" w:hAnsi="宋体" w:hint="eastAsia"/>
                <w:color w:val="000000"/>
                <w:kern w:val="0"/>
                <w:sz w:val="22"/>
                <w:szCs w:val="24"/>
              </w:rPr>
              <w:t>项目理解与设计方案</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10</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left"/>
              <w:rPr>
                <w:rFonts w:ascii="宋体" w:hAnsi="宋体" w:cs="Calibri"/>
                <w:sz w:val="22"/>
                <w:szCs w:val="24"/>
              </w:rPr>
            </w:pPr>
            <w:r w:rsidRPr="00F42899">
              <w:rPr>
                <w:rFonts w:ascii="宋体" w:hAnsi="宋体" w:hint="eastAsia"/>
                <w:color w:val="000000"/>
                <w:kern w:val="0"/>
                <w:sz w:val="22"/>
                <w:szCs w:val="24"/>
              </w:rPr>
              <w:t>对项目整体概念、布局要求、设计背景理解透彻及效果图表达清晰。作品优秀者得10分，良好者得6分，合格者得3分，不合格者不得分。</w:t>
            </w:r>
          </w:p>
        </w:tc>
      </w:tr>
      <w:tr w:rsidR="003953DB" w:rsidRPr="00F42899" w:rsidTr="006C49DB">
        <w:trPr>
          <w:trHeight w:val="615"/>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0" w:type="auto"/>
            <w:vMerge/>
            <w:tcBorders>
              <w:top w:val="nil"/>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0" w:type="auto"/>
            <w:vMerge/>
            <w:tcBorders>
              <w:top w:val="nil"/>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10</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left"/>
              <w:rPr>
                <w:rFonts w:ascii="宋体" w:hAnsi="宋体" w:cs="Calibri"/>
                <w:sz w:val="22"/>
                <w:szCs w:val="24"/>
              </w:rPr>
            </w:pPr>
            <w:r w:rsidRPr="00F42899">
              <w:rPr>
                <w:rFonts w:ascii="宋体" w:hAnsi="宋体" w:hint="eastAsia"/>
                <w:color w:val="000000"/>
                <w:kern w:val="0"/>
                <w:sz w:val="22"/>
                <w:szCs w:val="24"/>
              </w:rPr>
              <w:t>平面布置方案构思清晰、具有创新性与独特性。作品优秀者得10分，良好者得6分，合格者得3分，不合格者不得分。</w:t>
            </w:r>
          </w:p>
        </w:tc>
      </w:tr>
      <w:tr w:rsidR="003953DB" w:rsidRPr="00F42899" w:rsidTr="006C49DB">
        <w:trPr>
          <w:trHeight w:val="598"/>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0" w:type="auto"/>
            <w:vMerge/>
            <w:tcBorders>
              <w:top w:val="nil"/>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0" w:type="auto"/>
            <w:vMerge/>
            <w:tcBorders>
              <w:top w:val="nil"/>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9</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left"/>
              <w:rPr>
                <w:rFonts w:ascii="宋体" w:hAnsi="宋体" w:cs="Calibri"/>
                <w:sz w:val="22"/>
                <w:szCs w:val="24"/>
              </w:rPr>
            </w:pPr>
            <w:r w:rsidRPr="00F42899">
              <w:rPr>
                <w:rFonts w:ascii="宋体" w:hAnsi="宋体" w:hint="eastAsia"/>
                <w:sz w:val="22"/>
                <w:szCs w:val="24"/>
              </w:rPr>
              <w:t>利用各种设计手法满足设计目标要求、设计规范标准及使用者的需求。作品优秀者得9分，良好者得6分，合格者得3分，不合格者不得分。</w:t>
            </w:r>
          </w:p>
        </w:tc>
      </w:tr>
      <w:tr w:rsidR="003953DB" w:rsidRPr="00F42899" w:rsidTr="006C49DB">
        <w:trPr>
          <w:trHeight w:val="562"/>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550" w:type="dxa"/>
            <w:vMerge w:val="restart"/>
            <w:tcBorders>
              <w:top w:val="nil"/>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2</w:t>
            </w:r>
          </w:p>
        </w:tc>
        <w:tc>
          <w:tcPr>
            <w:tcW w:w="1647" w:type="dxa"/>
            <w:vMerge w:val="restart"/>
            <w:tcBorders>
              <w:top w:val="nil"/>
              <w:left w:val="nil"/>
              <w:bottom w:val="single" w:sz="4" w:space="0" w:color="auto"/>
              <w:right w:val="single" w:sz="4" w:space="0" w:color="auto"/>
            </w:tcBorders>
            <w:hideMark/>
          </w:tcPr>
          <w:p w:rsidR="003953DB" w:rsidRPr="00F42899" w:rsidRDefault="003953DB" w:rsidP="006C49DB">
            <w:pPr>
              <w:jc w:val="left"/>
              <w:rPr>
                <w:rFonts w:ascii="宋体" w:hAnsi="宋体" w:cs="Calibri"/>
                <w:sz w:val="22"/>
                <w:szCs w:val="24"/>
              </w:rPr>
            </w:pPr>
            <w:r w:rsidRPr="00F42899">
              <w:rPr>
                <w:rFonts w:ascii="宋体" w:hAnsi="宋体" w:hint="eastAsia"/>
                <w:color w:val="000000"/>
                <w:kern w:val="0"/>
                <w:sz w:val="22"/>
                <w:szCs w:val="24"/>
              </w:rPr>
              <w:t>工作措施及服务保障</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5</w:t>
            </w:r>
          </w:p>
        </w:tc>
        <w:tc>
          <w:tcPr>
            <w:tcW w:w="5529" w:type="dxa"/>
            <w:tcBorders>
              <w:top w:val="single" w:sz="4" w:space="0" w:color="auto"/>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color w:val="000000"/>
                <w:kern w:val="0"/>
                <w:sz w:val="22"/>
                <w:szCs w:val="24"/>
              </w:rPr>
            </w:pPr>
            <w:r w:rsidRPr="00F42899">
              <w:rPr>
                <w:rFonts w:ascii="宋体" w:hAnsi="宋体" w:hint="eastAsia"/>
                <w:color w:val="000000"/>
                <w:kern w:val="0"/>
                <w:sz w:val="22"/>
                <w:szCs w:val="24"/>
              </w:rPr>
              <w:t>对项目有安全文明、节能环保、智能化等措施，作品优秀者得5分，良好者得3分，合格者得1分，不合格者不得分。</w:t>
            </w:r>
          </w:p>
        </w:tc>
      </w:tr>
      <w:tr w:rsidR="003953DB" w:rsidRPr="00F42899" w:rsidTr="006C49DB">
        <w:trPr>
          <w:trHeight w:val="660"/>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0" w:type="auto"/>
            <w:vMerge/>
            <w:tcBorders>
              <w:top w:val="nil"/>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0" w:type="auto"/>
            <w:vMerge/>
            <w:tcBorders>
              <w:top w:val="nil"/>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5</w:t>
            </w:r>
          </w:p>
        </w:tc>
        <w:tc>
          <w:tcPr>
            <w:tcW w:w="5529" w:type="dxa"/>
            <w:tcBorders>
              <w:top w:val="single" w:sz="4" w:space="0" w:color="auto"/>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color w:val="000000"/>
                <w:kern w:val="0"/>
                <w:sz w:val="22"/>
                <w:szCs w:val="24"/>
              </w:rPr>
            </w:pPr>
            <w:r w:rsidRPr="00F42899">
              <w:rPr>
                <w:rFonts w:ascii="宋体" w:hAnsi="宋体" w:hint="eastAsia"/>
                <w:color w:val="000000"/>
                <w:kern w:val="0"/>
                <w:sz w:val="22"/>
                <w:szCs w:val="24"/>
              </w:rPr>
              <w:t>对项目有工程造价控制措施及建议，优秀者得5分，良好者得3分，合格者得1分，不合格者不得分。</w:t>
            </w:r>
          </w:p>
        </w:tc>
      </w:tr>
      <w:tr w:rsidR="003953DB" w:rsidRPr="00F42899" w:rsidTr="006C49DB">
        <w:trPr>
          <w:trHeight w:val="915"/>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0" w:type="auto"/>
            <w:vMerge/>
            <w:tcBorders>
              <w:top w:val="nil"/>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0" w:type="auto"/>
            <w:vMerge/>
            <w:tcBorders>
              <w:top w:val="nil"/>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5</w:t>
            </w:r>
          </w:p>
        </w:tc>
        <w:tc>
          <w:tcPr>
            <w:tcW w:w="5529" w:type="dxa"/>
            <w:tcBorders>
              <w:top w:val="single" w:sz="4" w:space="0" w:color="auto"/>
              <w:left w:val="nil"/>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color w:val="000000"/>
                <w:kern w:val="0"/>
                <w:sz w:val="22"/>
                <w:szCs w:val="24"/>
              </w:rPr>
            </w:pPr>
            <w:r w:rsidRPr="00F42899">
              <w:rPr>
                <w:rFonts w:ascii="宋体" w:hAnsi="宋体" w:hint="eastAsia"/>
                <w:color w:val="000000"/>
                <w:kern w:val="0"/>
                <w:sz w:val="22"/>
                <w:szCs w:val="24"/>
              </w:rPr>
              <w:t>设计及施工阶段服务保障措施及承诺，优秀者得5分，良好者得3分，合格者得1分，不合格者不得分。</w:t>
            </w:r>
          </w:p>
        </w:tc>
      </w:tr>
      <w:tr w:rsidR="003953DB" w:rsidRPr="00F42899" w:rsidTr="006C49DB">
        <w:tc>
          <w:tcPr>
            <w:tcW w:w="522" w:type="dxa"/>
            <w:tcBorders>
              <w:top w:val="single" w:sz="4" w:space="0" w:color="auto"/>
              <w:left w:val="single" w:sz="4" w:space="0" w:color="auto"/>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3</w:t>
            </w:r>
          </w:p>
        </w:tc>
        <w:tc>
          <w:tcPr>
            <w:tcW w:w="2988" w:type="dxa"/>
            <w:gridSpan w:val="3"/>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综合实力</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26</w:t>
            </w:r>
          </w:p>
        </w:tc>
      </w:tr>
      <w:tr w:rsidR="003953DB" w:rsidRPr="00F42899" w:rsidTr="006C49DB">
        <w:trPr>
          <w:trHeight w:val="81"/>
        </w:trPr>
        <w:tc>
          <w:tcPr>
            <w:tcW w:w="522" w:type="dxa"/>
            <w:vMerge w:val="restart"/>
            <w:tcBorders>
              <w:top w:val="nil"/>
              <w:left w:val="single" w:sz="4" w:space="0" w:color="auto"/>
              <w:bottom w:val="single" w:sz="4" w:space="0" w:color="auto"/>
              <w:right w:val="single" w:sz="4" w:space="0" w:color="auto"/>
            </w:tcBorders>
          </w:tcPr>
          <w:p w:rsidR="003953DB" w:rsidRPr="00F42899" w:rsidRDefault="003953DB" w:rsidP="006C49DB">
            <w:pPr>
              <w:jc w:val="center"/>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行号</w:t>
            </w:r>
          </w:p>
        </w:tc>
        <w:tc>
          <w:tcPr>
            <w:tcW w:w="1647"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内容</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权重</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评分准则</w:t>
            </w:r>
          </w:p>
        </w:tc>
      </w:tr>
      <w:tr w:rsidR="003953DB" w:rsidRPr="00F42899" w:rsidTr="006C49DB">
        <w:trPr>
          <w:trHeight w:val="81"/>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tcPr>
          <w:p w:rsidR="003953DB" w:rsidRPr="00F42899" w:rsidRDefault="003953DB" w:rsidP="006C49DB">
            <w:pPr>
              <w:jc w:val="center"/>
              <w:rPr>
                <w:rFonts w:ascii="宋体" w:hAnsi="宋体" w:cs="Calibri"/>
                <w:sz w:val="22"/>
                <w:szCs w:val="24"/>
              </w:rPr>
            </w:pPr>
          </w:p>
        </w:tc>
        <w:tc>
          <w:tcPr>
            <w:tcW w:w="1647"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投标人获奖情况</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6</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color w:val="000000"/>
                <w:kern w:val="0"/>
                <w:sz w:val="22"/>
                <w:szCs w:val="24"/>
              </w:rPr>
              <w:t>2018年12月30日至今获得过的市级以上相关设计类奖项。（需提供相应的证明材料复印件加盖公章、每提供一个得2分，最高6分，否则不得分）</w:t>
            </w:r>
          </w:p>
        </w:tc>
      </w:tr>
      <w:tr w:rsidR="003953DB" w:rsidRPr="00F42899" w:rsidTr="006C49DB">
        <w:trPr>
          <w:trHeight w:val="78"/>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1</w:t>
            </w:r>
          </w:p>
        </w:tc>
        <w:tc>
          <w:tcPr>
            <w:tcW w:w="1647"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投标人通过相关认证情况</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3</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spacing w:after="160" w:line="240" w:lineRule="exact"/>
              <w:jc w:val="left"/>
              <w:rPr>
                <w:rFonts w:ascii="宋体" w:hAnsi="宋体" w:cs="Calibri"/>
                <w:sz w:val="22"/>
                <w:szCs w:val="24"/>
              </w:rPr>
            </w:pPr>
            <w:r w:rsidRPr="00F42899">
              <w:rPr>
                <w:rFonts w:ascii="宋体" w:hAnsi="宋体" w:hint="eastAsia"/>
                <w:color w:val="000000"/>
                <w:kern w:val="0"/>
                <w:sz w:val="22"/>
                <w:szCs w:val="24"/>
              </w:rPr>
              <w:t>企业具有质量管理体系认证证书、环境管理体系认证证书及职业健康安全管理体系认证证书。（需提供相应的证书复印件加盖公章、每提供一个得1分，否则不得分）</w:t>
            </w:r>
          </w:p>
        </w:tc>
      </w:tr>
      <w:tr w:rsidR="003953DB" w:rsidRPr="00F42899" w:rsidTr="006C49DB">
        <w:trPr>
          <w:trHeight w:val="78"/>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2</w:t>
            </w:r>
          </w:p>
        </w:tc>
        <w:tc>
          <w:tcPr>
            <w:tcW w:w="1647"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投标人同类项目业绩情况</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6</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spacing w:after="160" w:line="240" w:lineRule="exact"/>
              <w:jc w:val="left"/>
              <w:rPr>
                <w:rFonts w:ascii="宋体" w:hAnsi="宋体" w:cs="Calibri"/>
                <w:sz w:val="22"/>
                <w:szCs w:val="24"/>
              </w:rPr>
            </w:pPr>
            <w:r w:rsidRPr="00F42899">
              <w:rPr>
                <w:rFonts w:ascii="宋体" w:hAnsi="宋体" w:hint="eastAsia"/>
                <w:color w:val="000000"/>
                <w:kern w:val="0"/>
                <w:sz w:val="22"/>
                <w:szCs w:val="24"/>
              </w:rPr>
              <w:t>项目经验：2018年12月30日至今做过的市级及以上同类项目的业绩，每提供1个得3分，最高6分。(证明材料：1、合同关键页 2、效果图或成果实物照片，只提供合同或只提供效果图得1分，以上证明材料提供复印件加盖公章）</w:t>
            </w:r>
          </w:p>
        </w:tc>
      </w:tr>
      <w:tr w:rsidR="003953DB" w:rsidRPr="00F42899" w:rsidTr="006C49DB">
        <w:trPr>
          <w:trHeight w:val="78"/>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3</w:t>
            </w:r>
          </w:p>
        </w:tc>
        <w:tc>
          <w:tcPr>
            <w:tcW w:w="1647"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项目团队人员</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6</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spacing w:after="160" w:line="240" w:lineRule="exact"/>
              <w:jc w:val="left"/>
              <w:rPr>
                <w:rFonts w:ascii="宋体" w:hAnsi="宋体" w:cs="Calibri"/>
                <w:sz w:val="22"/>
                <w:szCs w:val="24"/>
              </w:rPr>
            </w:pPr>
            <w:r w:rsidRPr="00F42899">
              <w:rPr>
                <w:rFonts w:ascii="宋体" w:hAnsi="宋体" w:hint="eastAsia"/>
                <w:color w:val="000000"/>
                <w:kern w:val="0"/>
                <w:sz w:val="22"/>
                <w:szCs w:val="24"/>
              </w:rPr>
              <w:t>团队资格证明：项目负责人取得高级室内设计师证，得2分，设计团队成员获得过市级以上奖项，每提供一个得2分。（需提供资格证书或奖项证书复印件加盖公章、每提供一个得2分，最高6分，否则不得分）投标人需提供团队人员及负责人近三个月</w:t>
            </w:r>
            <w:proofErr w:type="gramStart"/>
            <w:r w:rsidRPr="00F42899">
              <w:rPr>
                <w:rFonts w:ascii="宋体" w:hAnsi="宋体" w:hint="eastAsia"/>
                <w:color w:val="000000"/>
                <w:kern w:val="0"/>
                <w:sz w:val="22"/>
                <w:szCs w:val="24"/>
              </w:rPr>
              <w:t>社保证明</w:t>
            </w:r>
            <w:proofErr w:type="gramEnd"/>
            <w:r w:rsidRPr="00F42899">
              <w:rPr>
                <w:rFonts w:ascii="宋体" w:hAnsi="宋体" w:hint="eastAsia"/>
                <w:color w:val="000000"/>
                <w:kern w:val="0"/>
                <w:sz w:val="22"/>
                <w:szCs w:val="24"/>
              </w:rPr>
              <w:t>。</w:t>
            </w:r>
          </w:p>
        </w:tc>
      </w:tr>
      <w:tr w:rsidR="003953DB" w:rsidRPr="00F42899" w:rsidTr="006C49DB">
        <w:trPr>
          <w:trHeight w:val="2825"/>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4</w:t>
            </w:r>
          </w:p>
        </w:tc>
        <w:tc>
          <w:tcPr>
            <w:tcW w:w="1647"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服务网点</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5</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left"/>
              <w:rPr>
                <w:rFonts w:ascii="宋体" w:hAnsi="宋体" w:cs="Calibri"/>
                <w:sz w:val="22"/>
                <w:szCs w:val="24"/>
              </w:rPr>
            </w:pPr>
            <w:r w:rsidRPr="00F42899">
              <w:rPr>
                <w:rFonts w:ascii="宋体" w:hAnsi="宋体" w:hint="eastAsia"/>
                <w:sz w:val="22"/>
                <w:szCs w:val="24"/>
              </w:rPr>
              <w:t>1、深圳供应商，或非深圳</w:t>
            </w:r>
            <w:proofErr w:type="gramStart"/>
            <w:r w:rsidRPr="00F42899">
              <w:rPr>
                <w:rFonts w:ascii="宋体" w:hAnsi="宋体" w:hint="eastAsia"/>
                <w:sz w:val="22"/>
                <w:szCs w:val="24"/>
              </w:rPr>
              <w:t>供应商但在</w:t>
            </w:r>
            <w:proofErr w:type="gramEnd"/>
            <w:r w:rsidRPr="00F42899">
              <w:rPr>
                <w:rFonts w:ascii="宋体" w:hAnsi="宋体" w:hint="eastAsia"/>
                <w:sz w:val="22"/>
                <w:szCs w:val="24"/>
              </w:rPr>
              <w:t>深圳有合法注册的分公司（或售后机构）（分公司的必须提供分公司营业执照扫描件，售后机构必须同时提供售后服务合作合同及售后机构营业执照扫描件作为得分依据，原件备查）的，得5分；否则不得分。</w:t>
            </w:r>
          </w:p>
          <w:p w:rsidR="003953DB" w:rsidRPr="00F42899" w:rsidRDefault="003953DB" w:rsidP="006C49DB">
            <w:pPr>
              <w:jc w:val="left"/>
              <w:rPr>
                <w:rFonts w:ascii="宋体" w:hAnsi="宋体"/>
                <w:sz w:val="22"/>
                <w:szCs w:val="24"/>
              </w:rPr>
            </w:pPr>
            <w:r w:rsidRPr="00F42899">
              <w:rPr>
                <w:rFonts w:ascii="宋体" w:hAnsi="宋体" w:hint="eastAsia"/>
                <w:sz w:val="22"/>
                <w:szCs w:val="24"/>
              </w:rPr>
              <w:t>2、外地供应商承诺：中标后设立本地经营（服务）网点的，提供承诺文件（格式自定）的，得</w:t>
            </w:r>
            <w:r w:rsidRPr="00F42899">
              <w:rPr>
                <w:rFonts w:ascii="宋体" w:hAnsi="宋体" w:hint="eastAsia"/>
                <w:sz w:val="22"/>
                <w:szCs w:val="24"/>
                <w:u w:val="single"/>
              </w:rPr>
              <w:t xml:space="preserve"> 2.5分</w:t>
            </w:r>
            <w:r w:rsidRPr="00F42899">
              <w:rPr>
                <w:rFonts w:ascii="宋体" w:hAnsi="宋体" w:hint="eastAsia"/>
                <w:sz w:val="22"/>
                <w:szCs w:val="24"/>
              </w:rPr>
              <w:t>；未提供承诺或承诺内容不满足要求均不得分。</w:t>
            </w:r>
          </w:p>
          <w:p w:rsidR="003953DB" w:rsidRPr="00F42899" w:rsidRDefault="003953DB" w:rsidP="006C49DB">
            <w:pPr>
              <w:spacing w:after="160" w:line="240" w:lineRule="exact"/>
              <w:jc w:val="left"/>
              <w:rPr>
                <w:rFonts w:ascii="宋体" w:hAnsi="宋体" w:cs="Calibri"/>
                <w:sz w:val="22"/>
                <w:szCs w:val="24"/>
              </w:rPr>
            </w:pPr>
            <w:r w:rsidRPr="00F42899">
              <w:rPr>
                <w:rFonts w:ascii="宋体" w:hAnsi="宋体" w:hint="eastAsia"/>
                <w:sz w:val="22"/>
                <w:szCs w:val="24"/>
              </w:rPr>
              <w:t>注.联合体投标的，以联合体主办人的信息为准。</w:t>
            </w:r>
          </w:p>
        </w:tc>
      </w:tr>
      <w:tr w:rsidR="003953DB" w:rsidRPr="00F42899" w:rsidTr="006C49DB">
        <w:trPr>
          <w:trHeight w:val="78"/>
        </w:trPr>
        <w:tc>
          <w:tcPr>
            <w:tcW w:w="522" w:type="dxa"/>
            <w:tcBorders>
              <w:top w:val="single" w:sz="4" w:space="0" w:color="auto"/>
              <w:left w:val="single" w:sz="4" w:space="0" w:color="auto"/>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bookmarkStart w:id="1" w:name="InsertEnd"/>
            <w:bookmarkEnd w:id="1"/>
            <w:r w:rsidRPr="00F42899">
              <w:rPr>
                <w:rFonts w:ascii="宋体" w:hAnsi="宋体" w:hint="eastAsia"/>
                <w:sz w:val="22"/>
                <w:szCs w:val="24"/>
              </w:rPr>
              <w:t>4</w:t>
            </w:r>
          </w:p>
        </w:tc>
        <w:tc>
          <w:tcPr>
            <w:tcW w:w="2988" w:type="dxa"/>
            <w:gridSpan w:val="3"/>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诚信情况</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jc w:val="center"/>
              <w:rPr>
                <w:rFonts w:ascii="宋体" w:hAnsi="宋体" w:cs="Calibri"/>
                <w:sz w:val="22"/>
                <w:szCs w:val="24"/>
              </w:rPr>
            </w:pPr>
            <w:r w:rsidRPr="00F42899">
              <w:rPr>
                <w:rFonts w:ascii="宋体" w:hAnsi="宋体" w:hint="eastAsia"/>
                <w:sz w:val="22"/>
                <w:szCs w:val="24"/>
              </w:rPr>
              <w:t>5</w:t>
            </w:r>
          </w:p>
        </w:tc>
      </w:tr>
      <w:tr w:rsidR="003953DB" w:rsidRPr="00F42899" w:rsidTr="006C49DB">
        <w:trPr>
          <w:trHeight w:val="78"/>
        </w:trPr>
        <w:tc>
          <w:tcPr>
            <w:tcW w:w="522" w:type="dxa"/>
            <w:vMerge w:val="restart"/>
            <w:tcBorders>
              <w:top w:val="nil"/>
              <w:left w:val="single" w:sz="4" w:space="0" w:color="auto"/>
              <w:bottom w:val="single" w:sz="4" w:space="0" w:color="auto"/>
              <w:right w:val="single" w:sz="4" w:space="0" w:color="auto"/>
            </w:tcBorders>
          </w:tcPr>
          <w:p w:rsidR="003953DB" w:rsidRPr="00F42899" w:rsidRDefault="003953DB" w:rsidP="006C49DB">
            <w:pPr>
              <w:jc w:val="center"/>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vAlign w:val="center"/>
            <w:hideMark/>
          </w:tcPr>
          <w:p w:rsidR="003953DB" w:rsidRPr="00F42899" w:rsidRDefault="003953DB" w:rsidP="006C49DB">
            <w:pPr>
              <w:wordWrap w:val="0"/>
              <w:jc w:val="center"/>
              <w:rPr>
                <w:rFonts w:ascii="宋体" w:hAnsi="宋体" w:cs="Calibri"/>
                <w:sz w:val="22"/>
                <w:szCs w:val="24"/>
              </w:rPr>
            </w:pPr>
            <w:r w:rsidRPr="00F42899">
              <w:rPr>
                <w:rFonts w:ascii="宋体" w:hAnsi="宋体" w:hint="eastAsia"/>
                <w:sz w:val="22"/>
                <w:szCs w:val="24"/>
              </w:rPr>
              <w:t>序号</w:t>
            </w:r>
          </w:p>
        </w:tc>
        <w:tc>
          <w:tcPr>
            <w:tcW w:w="1647" w:type="dxa"/>
            <w:tcBorders>
              <w:top w:val="single" w:sz="4" w:space="0" w:color="auto"/>
              <w:left w:val="nil"/>
              <w:bottom w:val="single" w:sz="4" w:space="0" w:color="auto"/>
              <w:right w:val="single" w:sz="4" w:space="0" w:color="auto"/>
            </w:tcBorders>
            <w:vAlign w:val="center"/>
            <w:hideMark/>
          </w:tcPr>
          <w:p w:rsidR="003953DB" w:rsidRPr="00F42899" w:rsidRDefault="003953DB" w:rsidP="006C49DB">
            <w:pPr>
              <w:wordWrap w:val="0"/>
              <w:jc w:val="center"/>
              <w:rPr>
                <w:rFonts w:ascii="宋体" w:hAnsi="宋体" w:cs="Calibri"/>
                <w:sz w:val="22"/>
                <w:szCs w:val="24"/>
              </w:rPr>
            </w:pPr>
            <w:r w:rsidRPr="00F42899">
              <w:rPr>
                <w:rFonts w:ascii="宋体" w:hAnsi="宋体" w:hint="eastAsia"/>
                <w:sz w:val="22"/>
                <w:szCs w:val="24"/>
              </w:rPr>
              <w:t>评分因素</w:t>
            </w:r>
          </w:p>
        </w:tc>
        <w:tc>
          <w:tcPr>
            <w:tcW w:w="791" w:type="dxa"/>
            <w:tcBorders>
              <w:top w:val="single" w:sz="4" w:space="0" w:color="auto"/>
              <w:left w:val="nil"/>
              <w:bottom w:val="single" w:sz="4" w:space="0" w:color="auto"/>
              <w:right w:val="single" w:sz="4" w:space="0" w:color="auto"/>
            </w:tcBorders>
            <w:vAlign w:val="center"/>
            <w:hideMark/>
          </w:tcPr>
          <w:p w:rsidR="003953DB" w:rsidRPr="00F42899" w:rsidRDefault="003953DB" w:rsidP="006C49DB">
            <w:pPr>
              <w:wordWrap w:val="0"/>
              <w:jc w:val="center"/>
              <w:rPr>
                <w:rFonts w:ascii="宋体" w:hAnsi="宋体" w:cs="Calibri"/>
                <w:sz w:val="22"/>
                <w:szCs w:val="24"/>
              </w:rPr>
            </w:pPr>
            <w:r w:rsidRPr="00F42899">
              <w:rPr>
                <w:rFonts w:ascii="宋体" w:hAnsi="宋体" w:hint="eastAsia"/>
                <w:sz w:val="22"/>
                <w:szCs w:val="24"/>
              </w:rPr>
              <w:t>权重</w:t>
            </w:r>
          </w:p>
        </w:tc>
        <w:tc>
          <w:tcPr>
            <w:tcW w:w="5529" w:type="dxa"/>
            <w:tcBorders>
              <w:top w:val="single" w:sz="4" w:space="0" w:color="auto"/>
              <w:left w:val="nil"/>
              <w:bottom w:val="single" w:sz="4" w:space="0" w:color="auto"/>
              <w:right w:val="single" w:sz="4" w:space="0" w:color="auto"/>
            </w:tcBorders>
            <w:vAlign w:val="center"/>
            <w:hideMark/>
          </w:tcPr>
          <w:p w:rsidR="003953DB" w:rsidRPr="00F42899" w:rsidRDefault="003953DB" w:rsidP="006C49DB">
            <w:pPr>
              <w:wordWrap w:val="0"/>
              <w:jc w:val="center"/>
              <w:rPr>
                <w:rFonts w:ascii="宋体" w:hAnsi="宋体" w:cs="Calibri"/>
                <w:sz w:val="22"/>
                <w:szCs w:val="24"/>
              </w:rPr>
            </w:pPr>
            <w:r w:rsidRPr="00F42899">
              <w:rPr>
                <w:rFonts w:ascii="宋体" w:hAnsi="宋体" w:hint="eastAsia"/>
                <w:sz w:val="22"/>
                <w:szCs w:val="24"/>
              </w:rPr>
              <w:t>评分准则</w:t>
            </w:r>
          </w:p>
        </w:tc>
      </w:tr>
      <w:tr w:rsidR="003953DB" w:rsidRPr="00F42899" w:rsidTr="006C49DB">
        <w:trPr>
          <w:trHeight w:val="78"/>
        </w:trPr>
        <w:tc>
          <w:tcPr>
            <w:tcW w:w="0" w:type="auto"/>
            <w:vMerge/>
            <w:tcBorders>
              <w:top w:val="nil"/>
              <w:left w:val="single" w:sz="4" w:space="0" w:color="auto"/>
              <w:bottom w:val="single" w:sz="4" w:space="0" w:color="auto"/>
              <w:right w:val="single" w:sz="4" w:space="0" w:color="auto"/>
            </w:tcBorders>
            <w:vAlign w:val="center"/>
            <w:hideMark/>
          </w:tcPr>
          <w:p w:rsidR="003953DB" w:rsidRPr="00F42899" w:rsidRDefault="003953DB" w:rsidP="006C49DB">
            <w:pPr>
              <w:widowControl/>
              <w:jc w:val="left"/>
              <w:rPr>
                <w:rFonts w:ascii="宋体" w:hAnsi="宋体" w:cs="Calibri"/>
                <w:sz w:val="22"/>
                <w:szCs w:val="24"/>
              </w:rPr>
            </w:pPr>
          </w:p>
        </w:tc>
        <w:tc>
          <w:tcPr>
            <w:tcW w:w="550" w:type="dxa"/>
            <w:tcBorders>
              <w:top w:val="single" w:sz="4" w:space="0" w:color="auto"/>
              <w:left w:val="nil"/>
              <w:bottom w:val="single" w:sz="4" w:space="0" w:color="auto"/>
              <w:right w:val="single" w:sz="4" w:space="0" w:color="auto"/>
            </w:tcBorders>
            <w:hideMark/>
          </w:tcPr>
          <w:p w:rsidR="003953DB" w:rsidRPr="00F42899" w:rsidRDefault="003953DB" w:rsidP="006C49DB">
            <w:pPr>
              <w:wordWrap w:val="0"/>
              <w:jc w:val="center"/>
              <w:rPr>
                <w:rFonts w:ascii="宋体" w:hAnsi="宋体" w:cs="Calibri"/>
                <w:sz w:val="22"/>
                <w:szCs w:val="24"/>
              </w:rPr>
            </w:pPr>
            <w:r w:rsidRPr="00F42899">
              <w:rPr>
                <w:rFonts w:ascii="宋体" w:hAnsi="宋体" w:hint="eastAsia"/>
                <w:sz w:val="22"/>
                <w:szCs w:val="24"/>
              </w:rPr>
              <w:t>1</w:t>
            </w:r>
          </w:p>
        </w:tc>
        <w:tc>
          <w:tcPr>
            <w:tcW w:w="1647" w:type="dxa"/>
            <w:tcBorders>
              <w:top w:val="single" w:sz="4" w:space="0" w:color="auto"/>
              <w:left w:val="nil"/>
              <w:bottom w:val="single" w:sz="4" w:space="0" w:color="auto"/>
              <w:right w:val="single" w:sz="4" w:space="0" w:color="auto"/>
            </w:tcBorders>
            <w:hideMark/>
          </w:tcPr>
          <w:p w:rsidR="003953DB" w:rsidRPr="00F42899" w:rsidRDefault="003953DB" w:rsidP="006C49DB">
            <w:pPr>
              <w:rPr>
                <w:rFonts w:ascii="宋体" w:hAnsi="宋体" w:cs="Calibri"/>
                <w:sz w:val="22"/>
                <w:szCs w:val="24"/>
              </w:rPr>
            </w:pPr>
            <w:r w:rsidRPr="00F42899">
              <w:rPr>
                <w:rFonts w:ascii="宋体" w:hAnsi="宋体" w:hint="eastAsia"/>
                <w:sz w:val="22"/>
                <w:szCs w:val="24"/>
              </w:rPr>
              <w:t>市财政局诚信管理情况</w:t>
            </w:r>
          </w:p>
        </w:tc>
        <w:tc>
          <w:tcPr>
            <w:tcW w:w="791" w:type="dxa"/>
            <w:tcBorders>
              <w:top w:val="single" w:sz="4" w:space="0" w:color="auto"/>
              <w:left w:val="nil"/>
              <w:bottom w:val="single" w:sz="4" w:space="0" w:color="auto"/>
              <w:right w:val="single" w:sz="4" w:space="0" w:color="auto"/>
            </w:tcBorders>
            <w:hideMark/>
          </w:tcPr>
          <w:p w:rsidR="003953DB" w:rsidRPr="00F42899" w:rsidRDefault="003953DB" w:rsidP="006C49DB">
            <w:pPr>
              <w:wordWrap w:val="0"/>
              <w:jc w:val="center"/>
              <w:rPr>
                <w:rFonts w:ascii="宋体" w:hAnsi="宋体" w:cs="Calibri"/>
                <w:sz w:val="22"/>
                <w:szCs w:val="24"/>
              </w:rPr>
            </w:pPr>
            <w:r w:rsidRPr="00F42899">
              <w:rPr>
                <w:rFonts w:ascii="宋体" w:hAnsi="宋体" w:hint="eastAsia"/>
                <w:sz w:val="22"/>
                <w:szCs w:val="24"/>
              </w:rPr>
              <w:t>5</w:t>
            </w:r>
          </w:p>
        </w:tc>
        <w:tc>
          <w:tcPr>
            <w:tcW w:w="5529" w:type="dxa"/>
            <w:tcBorders>
              <w:top w:val="single" w:sz="4" w:space="0" w:color="auto"/>
              <w:left w:val="nil"/>
              <w:bottom w:val="single" w:sz="4" w:space="0" w:color="auto"/>
              <w:right w:val="single" w:sz="4" w:space="0" w:color="auto"/>
            </w:tcBorders>
            <w:hideMark/>
          </w:tcPr>
          <w:p w:rsidR="003953DB" w:rsidRPr="00F42899" w:rsidRDefault="003953DB" w:rsidP="006C49DB">
            <w:pPr>
              <w:rPr>
                <w:rFonts w:ascii="宋体" w:hAnsi="宋体" w:cs="Calibri"/>
                <w:sz w:val="22"/>
                <w:szCs w:val="24"/>
              </w:rPr>
            </w:pPr>
            <w:r w:rsidRPr="00F42899">
              <w:rPr>
                <w:rFonts w:ascii="宋体" w:hAnsi="宋体" w:hint="eastAsia"/>
                <w:sz w:val="22"/>
                <w:szCs w:val="24"/>
              </w:rPr>
              <w:t>投标人在参与政府采购活动中存在诚信相关问题且在主管部门相关处理措施实施期限内的，本项不得分，否则得满分。投标人需提供承诺函（格式自拟）。</w:t>
            </w:r>
          </w:p>
        </w:tc>
      </w:tr>
    </w:tbl>
    <w:p w:rsidR="003953DB" w:rsidRPr="00491A9E" w:rsidRDefault="003953DB" w:rsidP="003953DB">
      <w:pPr>
        <w:ind w:right="480"/>
        <w:jc w:val="right"/>
        <w:rPr>
          <w:rFonts w:ascii="仿宋" w:eastAsia="仿宋" w:hAnsi="仿宋"/>
        </w:rPr>
      </w:pPr>
    </w:p>
    <w:p w:rsidR="003953DB" w:rsidRPr="00DB62A4" w:rsidRDefault="003953DB" w:rsidP="003953DB"/>
    <w:p w:rsidR="00602184" w:rsidRPr="003953DB" w:rsidRDefault="003953DB"/>
    <w:sectPr w:rsidR="00602184" w:rsidRPr="003953DB" w:rsidSect="00116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DB"/>
    <w:rsid w:val="003953DB"/>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DB"/>
    <w:pPr>
      <w:widowControl w:val="0"/>
      <w:jc w:val="both"/>
    </w:pPr>
    <w:rPr>
      <w:rFonts w:ascii="Calibri" w:eastAsia="宋体"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DB"/>
    <w:pPr>
      <w:widowControl w:val="0"/>
      <w:jc w:val="both"/>
    </w:pPr>
    <w:rPr>
      <w:rFonts w:ascii="Calibri" w:eastAsia="宋体"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1319</Characters>
  <Application>Microsoft Office Word</Application>
  <DocSecurity>0</DocSecurity>
  <Lines>10</Lines>
  <Paragraphs>3</Paragraphs>
  <ScaleCrop>false</ScaleCrop>
  <Company>P R C</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2021-08-05T08:08:00Z</dcterms:created>
  <dcterms:modified xsi:type="dcterms:W3CDTF">2021-08-05T08:08:00Z</dcterms:modified>
</cp:coreProperties>
</file>