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C33" w:rsidRDefault="00E43C33" w:rsidP="00E43C33">
      <w:pPr>
        <w:snapToGrid w:val="0"/>
        <w:spacing w:line="360" w:lineRule="auto"/>
        <w:rPr>
          <w:rFonts w:ascii="黑体" w:eastAsia="黑体" w:hAnsi="黑体" w:cs="仿宋_GB2312"/>
          <w:szCs w:val="32"/>
        </w:rPr>
      </w:pPr>
      <w:r w:rsidRPr="00433DE5">
        <w:rPr>
          <w:rFonts w:ascii="黑体" w:eastAsia="黑体" w:hAnsi="黑体" w:hint="eastAsia"/>
          <w:sz w:val="32"/>
          <w:szCs w:val="32"/>
        </w:rPr>
        <w:t>附件2</w:t>
      </w:r>
    </w:p>
    <w:p w:rsidR="00E43C33" w:rsidRDefault="00E43C33" w:rsidP="00E43C33">
      <w:pPr>
        <w:snapToGrid w:val="0"/>
        <w:spacing w:line="360" w:lineRule="auto"/>
        <w:ind w:firstLineChars="200" w:firstLine="883"/>
        <w:jc w:val="center"/>
        <w:rPr>
          <w:rFonts w:ascii="方正小标宋简体" w:eastAsia="方正小标宋简体" w:hAnsi="方正小标宋简体" w:cs="方正小标宋简体"/>
          <w:b/>
          <w:kern w:val="0"/>
          <w:sz w:val="44"/>
          <w:szCs w:val="44"/>
        </w:rPr>
      </w:pPr>
      <w:bookmarkStart w:id="0" w:name="_GoBack"/>
      <w:r>
        <w:rPr>
          <w:rFonts w:ascii="方正小标宋简体" w:eastAsia="方正小标宋简体" w:hAnsi="方正小标宋简体" w:cs="方正小标宋简体" w:hint="eastAsia"/>
          <w:b/>
          <w:kern w:val="0"/>
          <w:sz w:val="44"/>
          <w:szCs w:val="44"/>
        </w:rPr>
        <w:t>评标方法</w:t>
      </w:r>
    </w:p>
    <w:bookmarkEnd w:id="0"/>
    <w:p w:rsidR="00E43C33" w:rsidRDefault="00E43C33" w:rsidP="00E43C33">
      <w:pPr>
        <w:snapToGrid w:val="0"/>
        <w:spacing w:line="360" w:lineRule="auto"/>
        <w:jc w:val="left"/>
        <w:rPr>
          <w:rFonts w:ascii="仿宋_GB2312" w:hAnsi="仿宋" w:cs="仿宋_GB2312"/>
          <w:kern w:val="0"/>
          <w:sz w:val="28"/>
          <w:szCs w:val="28"/>
        </w:rPr>
      </w:pPr>
      <w:r w:rsidRPr="00433DE5">
        <w:rPr>
          <w:rFonts w:ascii="仿宋_GB2312" w:eastAsia="仿宋_GB2312" w:hint="eastAsia"/>
          <w:sz w:val="32"/>
          <w:szCs w:val="32"/>
        </w:rPr>
        <w:t>评标方法为</w:t>
      </w:r>
      <w:r>
        <w:rPr>
          <w:rFonts w:ascii="仿宋_GB2312" w:hAnsi="仿宋" w:cs="仿宋_GB2312" w:hint="eastAsia"/>
          <w:b/>
          <w:kern w:val="0"/>
          <w:sz w:val="28"/>
          <w:szCs w:val="28"/>
        </w:rPr>
        <w:t>综合评分法</w:t>
      </w:r>
      <w:r>
        <w:rPr>
          <w:rFonts w:ascii="仿宋_GB2312" w:hAnsi="仿宋" w:cs="仿宋_GB2312" w:hint="eastAsia"/>
          <w:kern w:val="0"/>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663"/>
        <w:gridCol w:w="1135"/>
        <w:gridCol w:w="779"/>
        <w:gridCol w:w="967"/>
        <w:gridCol w:w="4668"/>
      </w:tblGrid>
      <w:tr w:rsidR="00E43C33" w:rsidRPr="00433DE5" w:rsidTr="00B612DB">
        <w:trPr>
          <w:jc w:val="center"/>
        </w:trPr>
        <w:tc>
          <w:tcPr>
            <w:tcW w:w="822" w:type="dxa"/>
            <w:tcBorders>
              <w:top w:val="single" w:sz="4" w:space="0" w:color="auto"/>
              <w:left w:val="single" w:sz="4" w:space="0" w:color="auto"/>
              <w:bottom w:val="single" w:sz="4" w:space="0" w:color="auto"/>
              <w:right w:val="single" w:sz="4" w:space="0" w:color="auto"/>
            </w:tcBorders>
            <w:vAlign w:val="center"/>
          </w:tcPr>
          <w:p w:rsidR="00E43C33" w:rsidRPr="00433DE5" w:rsidRDefault="00E43C33" w:rsidP="00B612DB">
            <w:pPr>
              <w:snapToGrid w:val="0"/>
              <w:jc w:val="center"/>
              <w:rPr>
                <w:rFonts w:ascii="仿宋_GB2312" w:cs="仿宋_GB2312"/>
                <w:b/>
                <w:sz w:val="24"/>
                <w:szCs w:val="24"/>
              </w:rPr>
            </w:pPr>
            <w:r w:rsidRPr="00433DE5">
              <w:rPr>
                <w:rFonts w:ascii="仿宋_GB2312" w:cs="仿宋_GB2312" w:hint="eastAsia"/>
                <w:b/>
                <w:sz w:val="24"/>
                <w:szCs w:val="24"/>
              </w:rPr>
              <w:t>序号</w:t>
            </w:r>
          </w:p>
        </w:tc>
        <w:tc>
          <w:tcPr>
            <w:tcW w:w="3544" w:type="dxa"/>
            <w:gridSpan w:val="4"/>
            <w:tcBorders>
              <w:top w:val="single" w:sz="4" w:space="0" w:color="auto"/>
              <w:left w:val="nil"/>
              <w:bottom w:val="single" w:sz="4" w:space="0" w:color="auto"/>
              <w:right w:val="single" w:sz="4" w:space="0" w:color="auto"/>
            </w:tcBorders>
            <w:vAlign w:val="center"/>
          </w:tcPr>
          <w:p w:rsidR="00E43C33" w:rsidRPr="00433DE5" w:rsidRDefault="00E43C33" w:rsidP="00B612DB">
            <w:pPr>
              <w:snapToGrid w:val="0"/>
              <w:jc w:val="center"/>
              <w:rPr>
                <w:rFonts w:ascii="仿宋_GB2312" w:cs="仿宋_GB2312"/>
                <w:b/>
                <w:sz w:val="24"/>
                <w:szCs w:val="24"/>
              </w:rPr>
            </w:pPr>
            <w:r w:rsidRPr="00433DE5">
              <w:rPr>
                <w:rFonts w:ascii="仿宋_GB2312" w:cs="仿宋_GB2312" w:hint="eastAsia"/>
                <w:b/>
                <w:sz w:val="24"/>
                <w:szCs w:val="24"/>
              </w:rPr>
              <w:t>评分项</w:t>
            </w:r>
          </w:p>
        </w:tc>
        <w:tc>
          <w:tcPr>
            <w:tcW w:w="4668" w:type="dxa"/>
            <w:tcBorders>
              <w:top w:val="single" w:sz="4" w:space="0" w:color="auto"/>
              <w:left w:val="nil"/>
              <w:bottom w:val="single" w:sz="4" w:space="0" w:color="auto"/>
              <w:right w:val="single" w:sz="4" w:space="0" w:color="auto"/>
            </w:tcBorders>
            <w:vAlign w:val="center"/>
          </w:tcPr>
          <w:p w:rsidR="00E43C33" w:rsidRPr="00433DE5" w:rsidRDefault="00E43C33" w:rsidP="00B612DB">
            <w:pPr>
              <w:snapToGrid w:val="0"/>
              <w:jc w:val="center"/>
              <w:rPr>
                <w:rFonts w:ascii="仿宋_GB2312" w:cs="仿宋_GB2312"/>
                <w:b/>
                <w:sz w:val="24"/>
                <w:szCs w:val="24"/>
              </w:rPr>
            </w:pPr>
            <w:r w:rsidRPr="00433DE5">
              <w:rPr>
                <w:rFonts w:ascii="仿宋_GB2312" w:cs="仿宋_GB2312" w:hint="eastAsia"/>
                <w:b/>
                <w:sz w:val="24"/>
                <w:szCs w:val="24"/>
              </w:rPr>
              <w:t>权重</w:t>
            </w:r>
          </w:p>
        </w:tc>
      </w:tr>
      <w:tr w:rsidR="00E43C33" w:rsidRPr="00433DE5" w:rsidTr="00B612DB">
        <w:trPr>
          <w:trHeight w:val="317"/>
          <w:jc w:val="center"/>
        </w:trPr>
        <w:tc>
          <w:tcPr>
            <w:tcW w:w="822" w:type="dxa"/>
            <w:tcBorders>
              <w:top w:val="single" w:sz="4" w:space="0" w:color="auto"/>
              <w:left w:val="single" w:sz="4" w:space="0" w:color="auto"/>
              <w:bottom w:val="single" w:sz="4" w:space="0" w:color="auto"/>
              <w:right w:val="single" w:sz="4" w:space="0" w:color="auto"/>
            </w:tcBorders>
            <w:vAlign w:val="center"/>
          </w:tcPr>
          <w:p w:rsidR="00E43C33" w:rsidRPr="00433DE5" w:rsidRDefault="00E43C33" w:rsidP="00B612DB">
            <w:pPr>
              <w:spacing w:line="500" w:lineRule="exact"/>
              <w:ind w:firstLineChars="200" w:firstLine="480"/>
              <w:rPr>
                <w:rFonts w:ascii="仿宋_GB2312" w:eastAsia="仿宋_GB2312"/>
                <w:sz w:val="24"/>
                <w:szCs w:val="24"/>
              </w:rPr>
            </w:pPr>
            <w:r w:rsidRPr="00433DE5">
              <w:rPr>
                <w:rFonts w:ascii="仿宋_GB2312" w:eastAsia="仿宋_GB2312" w:hint="eastAsia"/>
                <w:sz w:val="24"/>
                <w:szCs w:val="24"/>
              </w:rPr>
              <w:t>1</w:t>
            </w:r>
          </w:p>
        </w:tc>
        <w:tc>
          <w:tcPr>
            <w:tcW w:w="3544" w:type="dxa"/>
            <w:gridSpan w:val="4"/>
            <w:tcBorders>
              <w:top w:val="single" w:sz="4" w:space="0" w:color="auto"/>
              <w:left w:val="nil"/>
              <w:bottom w:val="single" w:sz="4" w:space="0" w:color="auto"/>
              <w:right w:val="single" w:sz="4" w:space="0" w:color="auto"/>
            </w:tcBorders>
            <w:vAlign w:val="center"/>
          </w:tcPr>
          <w:p w:rsidR="00E43C33" w:rsidRPr="00433DE5" w:rsidRDefault="00E43C33" w:rsidP="00B612DB">
            <w:pPr>
              <w:spacing w:line="500" w:lineRule="exact"/>
              <w:ind w:firstLineChars="200" w:firstLine="480"/>
              <w:rPr>
                <w:rFonts w:ascii="仿宋_GB2312" w:eastAsia="仿宋_GB2312"/>
                <w:sz w:val="24"/>
                <w:szCs w:val="24"/>
              </w:rPr>
            </w:pPr>
            <w:r w:rsidRPr="00433DE5">
              <w:rPr>
                <w:rFonts w:ascii="仿宋_GB2312" w:eastAsia="仿宋_GB2312" w:hint="eastAsia"/>
                <w:sz w:val="24"/>
                <w:szCs w:val="24"/>
              </w:rPr>
              <w:t>价格</w:t>
            </w:r>
          </w:p>
        </w:tc>
        <w:tc>
          <w:tcPr>
            <w:tcW w:w="4668" w:type="dxa"/>
            <w:tcBorders>
              <w:top w:val="single" w:sz="4" w:space="0" w:color="auto"/>
              <w:left w:val="nil"/>
              <w:bottom w:val="single" w:sz="4" w:space="0" w:color="auto"/>
              <w:right w:val="single" w:sz="4" w:space="0" w:color="auto"/>
            </w:tcBorders>
            <w:vAlign w:val="center"/>
          </w:tcPr>
          <w:p w:rsidR="00E43C33" w:rsidRPr="00433DE5" w:rsidRDefault="00E43C33" w:rsidP="00B612DB">
            <w:pPr>
              <w:spacing w:line="500" w:lineRule="exact"/>
              <w:ind w:firstLineChars="200" w:firstLine="480"/>
              <w:rPr>
                <w:rFonts w:ascii="仿宋_GB2312" w:eastAsia="仿宋_GB2312"/>
                <w:sz w:val="24"/>
                <w:szCs w:val="24"/>
              </w:rPr>
            </w:pPr>
            <w:r w:rsidRPr="00433DE5">
              <w:rPr>
                <w:rFonts w:ascii="仿宋_GB2312" w:eastAsia="仿宋_GB2312" w:hint="eastAsia"/>
                <w:sz w:val="24"/>
                <w:szCs w:val="24"/>
              </w:rPr>
              <w:t>20</w:t>
            </w:r>
          </w:p>
        </w:tc>
      </w:tr>
      <w:tr w:rsidR="00E43C33" w:rsidRPr="00433DE5" w:rsidTr="00B612DB">
        <w:trPr>
          <w:trHeight w:val="317"/>
          <w:jc w:val="center"/>
        </w:trPr>
        <w:tc>
          <w:tcPr>
            <w:tcW w:w="9034" w:type="dxa"/>
            <w:gridSpan w:val="6"/>
            <w:tcBorders>
              <w:top w:val="single" w:sz="4" w:space="0" w:color="auto"/>
              <w:left w:val="single" w:sz="4" w:space="0" w:color="auto"/>
              <w:bottom w:val="single" w:sz="4" w:space="0" w:color="auto"/>
              <w:right w:val="single" w:sz="4" w:space="0" w:color="auto"/>
            </w:tcBorders>
            <w:vAlign w:val="center"/>
          </w:tcPr>
          <w:p w:rsidR="00E43C33" w:rsidRPr="00433DE5" w:rsidRDefault="00E43C33" w:rsidP="00B612DB">
            <w:pPr>
              <w:spacing w:line="500" w:lineRule="exact"/>
              <w:ind w:firstLineChars="200" w:firstLine="480"/>
              <w:rPr>
                <w:rFonts w:ascii="仿宋_GB2312" w:eastAsia="仿宋_GB2312"/>
                <w:sz w:val="24"/>
                <w:szCs w:val="24"/>
              </w:rPr>
            </w:pPr>
            <w:r w:rsidRPr="00433DE5">
              <w:rPr>
                <w:rFonts w:ascii="仿宋_GB2312" w:eastAsia="仿宋_GB2312" w:hint="eastAsia"/>
                <w:sz w:val="24"/>
                <w:szCs w:val="24"/>
              </w:rPr>
              <w:t>采用低价优先法计算,即满足招标文件要求且投标价格最低的投标报价为评标基准价,其价格分为满分。其他投标人的价格</w:t>
            </w:r>
            <w:proofErr w:type="gramStart"/>
            <w:r w:rsidRPr="00433DE5">
              <w:rPr>
                <w:rFonts w:ascii="仿宋_GB2312" w:eastAsia="仿宋_GB2312" w:hint="eastAsia"/>
                <w:sz w:val="24"/>
                <w:szCs w:val="24"/>
              </w:rPr>
              <w:t>分统一</w:t>
            </w:r>
            <w:proofErr w:type="gramEnd"/>
            <w:r w:rsidRPr="00433DE5">
              <w:rPr>
                <w:rFonts w:ascii="仿宋_GB2312" w:eastAsia="仿宋_GB2312" w:hint="eastAsia"/>
                <w:sz w:val="24"/>
                <w:szCs w:val="24"/>
              </w:rPr>
              <w:t>按照下列公式计算：投标报价得分=(评标基准价/投标报价)×权重</w:t>
            </w:r>
          </w:p>
        </w:tc>
      </w:tr>
      <w:tr w:rsidR="00E43C33" w:rsidRPr="00433DE5" w:rsidTr="00B612DB">
        <w:trPr>
          <w:jc w:val="center"/>
        </w:trPr>
        <w:tc>
          <w:tcPr>
            <w:tcW w:w="822" w:type="dxa"/>
            <w:tcBorders>
              <w:top w:val="single" w:sz="4" w:space="0" w:color="auto"/>
              <w:left w:val="single" w:sz="4" w:space="0" w:color="auto"/>
              <w:bottom w:val="single" w:sz="4" w:space="0" w:color="auto"/>
              <w:right w:val="single" w:sz="4" w:space="0" w:color="auto"/>
            </w:tcBorders>
            <w:vAlign w:val="center"/>
          </w:tcPr>
          <w:p w:rsidR="00E43C33" w:rsidRPr="00433DE5" w:rsidRDefault="00E43C33" w:rsidP="00B612DB">
            <w:pPr>
              <w:snapToGrid w:val="0"/>
              <w:jc w:val="center"/>
              <w:rPr>
                <w:rFonts w:ascii="仿宋_GB2312" w:cs="仿宋_GB2312"/>
                <w:b/>
                <w:sz w:val="24"/>
                <w:szCs w:val="24"/>
              </w:rPr>
            </w:pPr>
            <w:r w:rsidRPr="00433DE5">
              <w:rPr>
                <w:rFonts w:ascii="仿宋_GB2312" w:cs="仿宋_GB2312" w:hint="eastAsia"/>
                <w:b/>
                <w:sz w:val="24"/>
                <w:szCs w:val="24"/>
              </w:rPr>
              <w:t>2</w:t>
            </w:r>
          </w:p>
        </w:tc>
        <w:tc>
          <w:tcPr>
            <w:tcW w:w="3544" w:type="dxa"/>
            <w:gridSpan w:val="4"/>
            <w:tcBorders>
              <w:top w:val="single" w:sz="4" w:space="0" w:color="auto"/>
              <w:left w:val="nil"/>
              <w:bottom w:val="single" w:sz="4" w:space="0" w:color="auto"/>
              <w:right w:val="single" w:sz="4" w:space="0" w:color="auto"/>
            </w:tcBorders>
            <w:vAlign w:val="center"/>
          </w:tcPr>
          <w:p w:rsidR="00E43C33" w:rsidRPr="00433DE5" w:rsidRDefault="00E43C33" w:rsidP="00B612DB">
            <w:pPr>
              <w:snapToGrid w:val="0"/>
              <w:jc w:val="center"/>
              <w:rPr>
                <w:rFonts w:ascii="仿宋_GB2312" w:cs="仿宋_GB2312"/>
                <w:b/>
                <w:sz w:val="24"/>
                <w:szCs w:val="24"/>
              </w:rPr>
            </w:pPr>
            <w:r w:rsidRPr="00433DE5">
              <w:rPr>
                <w:rFonts w:ascii="仿宋_GB2312" w:cs="仿宋_GB2312" w:hint="eastAsia"/>
                <w:b/>
                <w:sz w:val="24"/>
                <w:szCs w:val="24"/>
              </w:rPr>
              <w:t>技术部分</w:t>
            </w:r>
          </w:p>
        </w:tc>
        <w:tc>
          <w:tcPr>
            <w:tcW w:w="4668" w:type="dxa"/>
            <w:tcBorders>
              <w:top w:val="single" w:sz="4" w:space="0" w:color="auto"/>
              <w:left w:val="nil"/>
              <w:bottom w:val="single" w:sz="4" w:space="0" w:color="auto"/>
              <w:right w:val="single" w:sz="4" w:space="0" w:color="auto"/>
            </w:tcBorders>
            <w:vAlign w:val="center"/>
          </w:tcPr>
          <w:p w:rsidR="00E43C33" w:rsidRPr="00433DE5" w:rsidRDefault="00E43C33" w:rsidP="00B612DB">
            <w:pPr>
              <w:snapToGrid w:val="0"/>
              <w:jc w:val="center"/>
              <w:rPr>
                <w:rFonts w:ascii="仿宋_GB2312" w:cs="仿宋_GB2312"/>
                <w:b/>
                <w:sz w:val="24"/>
                <w:szCs w:val="24"/>
              </w:rPr>
            </w:pPr>
            <w:r w:rsidRPr="00433DE5">
              <w:rPr>
                <w:rFonts w:ascii="仿宋_GB2312" w:cs="仿宋_GB2312" w:hint="eastAsia"/>
                <w:b/>
                <w:sz w:val="24"/>
                <w:szCs w:val="24"/>
              </w:rPr>
              <w:t>80</w:t>
            </w:r>
          </w:p>
        </w:tc>
      </w:tr>
      <w:tr w:rsidR="00E43C33" w:rsidRPr="00433DE5" w:rsidTr="00B612DB">
        <w:trPr>
          <w:jc w:val="center"/>
        </w:trPr>
        <w:tc>
          <w:tcPr>
            <w:tcW w:w="822" w:type="dxa"/>
            <w:vMerge w:val="restart"/>
            <w:tcBorders>
              <w:top w:val="nil"/>
              <w:left w:val="single" w:sz="4" w:space="0" w:color="auto"/>
              <w:bottom w:val="single" w:sz="4" w:space="0" w:color="auto"/>
              <w:right w:val="single" w:sz="4" w:space="0" w:color="auto"/>
            </w:tcBorders>
            <w:vAlign w:val="center"/>
          </w:tcPr>
          <w:p w:rsidR="00E43C33" w:rsidRPr="00433DE5" w:rsidRDefault="00E43C33" w:rsidP="00B612DB">
            <w:pPr>
              <w:snapToGrid w:val="0"/>
              <w:jc w:val="center"/>
              <w:rPr>
                <w:rFonts w:ascii="仿宋_GB2312" w:cs="仿宋_GB2312"/>
                <w:sz w:val="24"/>
                <w:szCs w:val="24"/>
              </w:rPr>
            </w:pPr>
          </w:p>
        </w:tc>
        <w:tc>
          <w:tcPr>
            <w:tcW w:w="663" w:type="dxa"/>
            <w:tcBorders>
              <w:top w:val="single" w:sz="4" w:space="0" w:color="auto"/>
              <w:left w:val="nil"/>
              <w:bottom w:val="single" w:sz="4" w:space="0" w:color="auto"/>
              <w:right w:val="single" w:sz="4" w:space="0" w:color="auto"/>
            </w:tcBorders>
            <w:vAlign w:val="center"/>
          </w:tcPr>
          <w:p w:rsidR="00E43C33" w:rsidRPr="00433DE5" w:rsidRDefault="00E43C33" w:rsidP="00B612DB">
            <w:pPr>
              <w:spacing w:line="500" w:lineRule="exact"/>
              <w:rPr>
                <w:rFonts w:ascii="仿宋_GB2312" w:eastAsia="仿宋_GB2312"/>
                <w:sz w:val="24"/>
                <w:szCs w:val="24"/>
              </w:rPr>
            </w:pPr>
            <w:r w:rsidRPr="00433DE5">
              <w:rPr>
                <w:rFonts w:ascii="仿宋_GB2312" w:eastAsia="仿宋_GB2312" w:hint="eastAsia"/>
                <w:sz w:val="24"/>
                <w:szCs w:val="24"/>
              </w:rPr>
              <w:t>序号</w:t>
            </w:r>
          </w:p>
        </w:tc>
        <w:tc>
          <w:tcPr>
            <w:tcW w:w="1135" w:type="dxa"/>
            <w:tcBorders>
              <w:top w:val="single" w:sz="4" w:space="0" w:color="auto"/>
              <w:left w:val="nil"/>
              <w:bottom w:val="single" w:sz="4" w:space="0" w:color="auto"/>
              <w:right w:val="single" w:sz="4" w:space="0" w:color="auto"/>
            </w:tcBorders>
            <w:vAlign w:val="center"/>
          </w:tcPr>
          <w:p w:rsidR="00E43C33" w:rsidRPr="00433DE5" w:rsidRDefault="00E43C33" w:rsidP="00B612DB">
            <w:pPr>
              <w:spacing w:line="500" w:lineRule="exact"/>
              <w:rPr>
                <w:rFonts w:ascii="仿宋_GB2312" w:eastAsia="仿宋_GB2312"/>
                <w:sz w:val="24"/>
                <w:szCs w:val="24"/>
              </w:rPr>
            </w:pPr>
            <w:r w:rsidRPr="00433DE5">
              <w:rPr>
                <w:rFonts w:ascii="仿宋_GB2312" w:eastAsia="仿宋_GB2312" w:hint="eastAsia"/>
                <w:sz w:val="24"/>
                <w:szCs w:val="24"/>
              </w:rPr>
              <w:t>评分因素</w:t>
            </w:r>
          </w:p>
        </w:tc>
        <w:tc>
          <w:tcPr>
            <w:tcW w:w="779" w:type="dxa"/>
            <w:tcBorders>
              <w:top w:val="single" w:sz="4" w:space="0" w:color="auto"/>
              <w:left w:val="nil"/>
              <w:bottom w:val="single" w:sz="4" w:space="0" w:color="auto"/>
              <w:right w:val="single" w:sz="4" w:space="0" w:color="auto"/>
            </w:tcBorders>
            <w:vAlign w:val="center"/>
          </w:tcPr>
          <w:p w:rsidR="00E43C33" w:rsidRPr="00433DE5" w:rsidRDefault="00E43C33" w:rsidP="00B612DB">
            <w:pPr>
              <w:spacing w:line="500" w:lineRule="exact"/>
              <w:rPr>
                <w:rFonts w:ascii="仿宋_GB2312" w:eastAsia="仿宋_GB2312"/>
                <w:sz w:val="24"/>
                <w:szCs w:val="24"/>
              </w:rPr>
            </w:pPr>
            <w:r w:rsidRPr="00433DE5">
              <w:rPr>
                <w:rFonts w:ascii="仿宋_GB2312" w:eastAsia="仿宋_GB2312" w:hint="eastAsia"/>
                <w:sz w:val="24"/>
                <w:szCs w:val="24"/>
              </w:rPr>
              <w:t>权重</w:t>
            </w:r>
          </w:p>
        </w:tc>
        <w:tc>
          <w:tcPr>
            <w:tcW w:w="967" w:type="dxa"/>
            <w:tcBorders>
              <w:top w:val="single" w:sz="4" w:space="0" w:color="auto"/>
              <w:left w:val="nil"/>
              <w:bottom w:val="single" w:sz="4" w:space="0" w:color="auto"/>
              <w:right w:val="single" w:sz="4" w:space="0" w:color="auto"/>
            </w:tcBorders>
            <w:vAlign w:val="center"/>
          </w:tcPr>
          <w:p w:rsidR="00E43C33" w:rsidRPr="00433DE5" w:rsidRDefault="00E43C33" w:rsidP="00B612DB">
            <w:pPr>
              <w:spacing w:line="500" w:lineRule="exact"/>
              <w:rPr>
                <w:rFonts w:ascii="仿宋_GB2312" w:eastAsia="仿宋_GB2312"/>
                <w:sz w:val="24"/>
                <w:szCs w:val="24"/>
              </w:rPr>
            </w:pPr>
            <w:r w:rsidRPr="00433DE5">
              <w:rPr>
                <w:rFonts w:ascii="仿宋_GB2312" w:eastAsia="仿宋_GB2312" w:hint="eastAsia"/>
                <w:sz w:val="24"/>
                <w:szCs w:val="24"/>
              </w:rPr>
              <w:t>评分方式</w:t>
            </w:r>
          </w:p>
        </w:tc>
        <w:tc>
          <w:tcPr>
            <w:tcW w:w="4668" w:type="dxa"/>
            <w:tcBorders>
              <w:top w:val="single" w:sz="4" w:space="0" w:color="auto"/>
              <w:left w:val="nil"/>
              <w:bottom w:val="single" w:sz="4" w:space="0" w:color="auto"/>
              <w:right w:val="single" w:sz="4" w:space="0" w:color="auto"/>
            </w:tcBorders>
            <w:vAlign w:val="center"/>
          </w:tcPr>
          <w:p w:rsidR="00E43C33" w:rsidRPr="00433DE5" w:rsidRDefault="00E43C33" w:rsidP="00B612DB">
            <w:pPr>
              <w:spacing w:line="500" w:lineRule="exact"/>
              <w:ind w:firstLineChars="200" w:firstLine="480"/>
              <w:rPr>
                <w:rFonts w:ascii="仿宋_GB2312" w:eastAsia="仿宋_GB2312"/>
                <w:sz w:val="24"/>
                <w:szCs w:val="24"/>
              </w:rPr>
            </w:pPr>
            <w:r w:rsidRPr="00433DE5">
              <w:rPr>
                <w:rFonts w:ascii="仿宋_GB2312" w:eastAsia="仿宋_GB2312" w:hint="eastAsia"/>
                <w:sz w:val="24"/>
                <w:szCs w:val="24"/>
              </w:rPr>
              <w:t>评分准则</w:t>
            </w:r>
          </w:p>
        </w:tc>
      </w:tr>
      <w:tr w:rsidR="00E43C33" w:rsidRPr="00433DE5" w:rsidTr="00B612DB">
        <w:trPr>
          <w:trHeight w:val="63"/>
          <w:jc w:val="center"/>
        </w:trPr>
        <w:tc>
          <w:tcPr>
            <w:tcW w:w="822" w:type="dxa"/>
            <w:vMerge/>
            <w:tcBorders>
              <w:top w:val="nil"/>
              <w:left w:val="single" w:sz="4" w:space="0" w:color="auto"/>
              <w:bottom w:val="single" w:sz="4" w:space="0" w:color="auto"/>
              <w:right w:val="single" w:sz="4" w:space="0" w:color="auto"/>
            </w:tcBorders>
            <w:vAlign w:val="center"/>
          </w:tcPr>
          <w:p w:rsidR="00E43C33" w:rsidRPr="00433DE5" w:rsidRDefault="00E43C33" w:rsidP="00B612DB">
            <w:pPr>
              <w:rPr>
                <w:rFonts w:ascii="仿宋_GB2312" w:cs="Calibri"/>
                <w:sz w:val="24"/>
                <w:szCs w:val="24"/>
              </w:rPr>
            </w:pPr>
          </w:p>
        </w:tc>
        <w:tc>
          <w:tcPr>
            <w:tcW w:w="663" w:type="dxa"/>
            <w:tcBorders>
              <w:top w:val="single" w:sz="4" w:space="0" w:color="auto"/>
              <w:left w:val="nil"/>
              <w:bottom w:val="single" w:sz="4" w:space="0" w:color="auto"/>
              <w:right w:val="single" w:sz="4" w:space="0" w:color="auto"/>
            </w:tcBorders>
            <w:vAlign w:val="center"/>
          </w:tcPr>
          <w:p w:rsidR="00E43C33" w:rsidRPr="00433DE5" w:rsidRDefault="00E43C33" w:rsidP="00B612DB">
            <w:pPr>
              <w:spacing w:line="500" w:lineRule="exact"/>
              <w:rPr>
                <w:rFonts w:ascii="仿宋_GB2312" w:eastAsia="仿宋_GB2312"/>
                <w:sz w:val="24"/>
                <w:szCs w:val="24"/>
              </w:rPr>
            </w:pPr>
            <w:r w:rsidRPr="00433DE5">
              <w:rPr>
                <w:rFonts w:ascii="仿宋_GB2312" w:eastAsia="仿宋_GB2312" w:hint="eastAsia"/>
                <w:sz w:val="24"/>
                <w:szCs w:val="24"/>
              </w:rPr>
              <w:t>1</w:t>
            </w:r>
          </w:p>
        </w:tc>
        <w:tc>
          <w:tcPr>
            <w:tcW w:w="1135" w:type="dxa"/>
            <w:tcBorders>
              <w:top w:val="single" w:sz="4" w:space="0" w:color="auto"/>
              <w:left w:val="nil"/>
              <w:bottom w:val="single" w:sz="4" w:space="0" w:color="auto"/>
              <w:right w:val="single" w:sz="4" w:space="0" w:color="auto"/>
            </w:tcBorders>
            <w:vAlign w:val="center"/>
          </w:tcPr>
          <w:p w:rsidR="00E43C33" w:rsidRPr="00433DE5" w:rsidRDefault="00E43C33" w:rsidP="00B612DB">
            <w:pPr>
              <w:spacing w:line="500" w:lineRule="exact"/>
              <w:rPr>
                <w:rFonts w:ascii="仿宋_GB2312" w:eastAsia="仿宋_GB2312"/>
                <w:sz w:val="24"/>
                <w:szCs w:val="24"/>
              </w:rPr>
            </w:pPr>
            <w:r w:rsidRPr="00433DE5">
              <w:rPr>
                <w:rFonts w:ascii="仿宋_GB2312" w:eastAsia="仿宋_GB2312" w:hint="eastAsia"/>
                <w:sz w:val="24"/>
                <w:szCs w:val="24"/>
              </w:rPr>
              <w:t>实施方案</w:t>
            </w:r>
          </w:p>
        </w:tc>
        <w:tc>
          <w:tcPr>
            <w:tcW w:w="779" w:type="dxa"/>
            <w:tcBorders>
              <w:top w:val="single" w:sz="4" w:space="0" w:color="auto"/>
              <w:left w:val="nil"/>
              <w:bottom w:val="single" w:sz="4" w:space="0" w:color="auto"/>
              <w:right w:val="single" w:sz="4" w:space="0" w:color="auto"/>
            </w:tcBorders>
            <w:vAlign w:val="center"/>
          </w:tcPr>
          <w:p w:rsidR="00E43C33" w:rsidRPr="00433DE5" w:rsidRDefault="00E43C33" w:rsidP="00B612DB">
            <w:pPr>
              <w:spacing w:line="500" w:lineRule="exact"/>
              <w:rPr>
                <w:rFonts w:ascii="仿宋_GB2312" w:eastAsia="仿宋_GB2312"/>
                <w:sz w:val="24"/>
                <w:szCs w:val="24"/>
              </w:rPr>
            </w:pPr>
            <w:r w:rsidRPr="00433DE5">
              <w:rPr>
                <w:rFonts w:ascii="仿宋_GB2312" w:eastAsia="仿宋_GB2312" w:hint="eastAsia"/>
                <w:sz w:val="24"/>
                <w:szCs w:val="24"/>
              </w:rPr>
              <w:t>15</w:t>
            </w:r>
          </w:p>
        </w:tc>
        <w:tc>
          <w:tcPr>
            <w:tcW w:w="967" w:type="dxa"/>
            <w:tcBorders>
              <w:top w:val="single" w:sz="4" w:space="0" w:color="auto"/>
              <w:left w:val="nil"/>
              <w:bottom w:val="single" w:sz="4" w:space="0" w:color="auto"/>
              <w:right w:val="single" w:sz="4" w:space="0" w:color="auto"/>
            </w:tcBorders>
            <w:vAlign w:val="center"/>
          </w:tcPr>
          <w:p w:rsidR="00E43C33" w:rsidRPr="00433DE5" w:rsidRDefault="00E43C33" w:rsidP="00B612DB">
            <w:pPr>
              <w:spacing w:line="500" w:lineRule="exact"/>
              <w:rPr>
                <w:rFonts w:ascii="仿宋_GB2312" w:eastAsia="仿宋_GB2312"/>
                <w:sz w:val="24"/>
                <w:szCs w:val="24"/>
              </w:rPr>
            </w:pPr>
            <w:r w:rsidRPr="00433DE5">
              <w:rPr>
                <w:rFonts w:ascii="仿宋_GB2312" w:eastAsia="仿宋_GB2312" w:hint="eastAsia"/>
                <w:sz w:val="24"/>
                <w:szCs w:val="24"/>
              </w:rPr>
              <w:t>打分</w:t>
            </w:r>
          </w:p>
        </w:tc>
        <w:tc>
          <w:tcPr>
            <w:tcW w:w="4668" w:type="dxa"/>
            <w:tcBorders>
              <w:top w:val="single" w:sz="4" w:space="0" w:color="auto"/>
              <w:left w:val="nil"/>
              <w:bottom w:val="single" w:sz="4" w:space="0" w:color="auto"/>
              <w:right w:val="single" w:sz="4" w:space="0" w:color="auto"/>
            </w:tcBorders>
          </w:tcPr>
          <w:p w:rsidR="00E43C33" w:rsidRPr="00433DE5" w:rsidRDefault="00E43C33" w:rsidP="00B612DB">
            <w:pPr>
              <w:spacing w:line="500" w:lineRule="exact"/>
              <w:ind w:firstLineChars="200" w:firstLine="480"/>
              <w:rPr>
                <w:rFonts w:ascii="仿宋_GB2312" w:eastAsia="仿宋_GB2312"/>
                <w:sz w:val="24"/>
                <w:szCs w:val="24"/>
              </w:rPr>
            </w:pPr>
            <w:r w:rsidRPr="00433DE5">
              <w:rPr>
                <w:rFonts w:ascii="仿宋_GB2312" w:eastAsia="仿宋_GB2312" w:hint="eastAsia"/>
                <w:sz w:val="24"/>
                <w:szCs w:val="24"/>
              </w:rPr>
              <w:t>（一）评审内容： 日常维修服务、24小时救援服务、节假日修车服务、应急维修服务、设立应急电话等。 （二）评分标准： 评审委员会根据上述内容进行横向比较，分档打分。对本项目总体认识到位，表述清晰，结构完整，经评估能有效提升本项目的评价</w:t>
            </w:r>
            <w:proofErr w:type="gramStart"/>
            <w:r w:rsidRPr="00433DE5">
              <w:rPr>
                <w:rFonts w:ascii="仿宋_GB2312" w:eastAsia="仿宋_GB2312" w:hint="eastAsia"/>
                <w:sz w:val="24"/>
                <w:szCs w:val="24"/>
              </w:rPr>
              <w:t>为优得15分</w:t>
            </w:r>
            <w:proofErr w:type="gramEnd"/>
            <w:r w:rsidRPr="00433DE5">
              <w:rPr>
                <w:rFonts w:ascii="仿宋_GB2312" w:eastAsia="仿宋_GB2312" w:hint="eastAsia"/>
                <w:sz w:val="24"/>
                <w:szCs w:val="24"/>
              </w:rPr>
              <w:t>；对本项目总体认识到位，表述清晰，结构完整，经评估对本项目效果一般的评价</w:t>
            </w:r>
            <w:proofErr w:type="gramStart"/>
            <w:r w:rsidRPr="00433DE5">
              <w:rPr>
                <w:rFonts w:ascii="仿宋_GB2312" w:eastAsia="仿宋_GB2312" w:hint="eastAsia"/>
                <w:sz w:val="24"/>
                <w:szCs w:val="24"/>
              </w:rPr>
              <w:t>为良得10分</w:t>
            </w:r>
            <w:proofErr w:type="gramEnd"/>
            <w:r w:rsidRPr="00433DE5">
              <w:rPr>
                <w:rFonts w:ascii="仿宋_GB2312" w:eastAsia="仿宋_GB2312" w:hint="eastAsia"/>
                <w:sz w:val="24"/>
                <w:szCs w:val="24"/>
              </w:rPr>
              <w:t>；对本项目有总体认识，但表述不清晰或结构不完整，评价为中得5分；对本项目无总体认识的，评价为差不得分。</w:t>
            </w:r>
          </w:p>
        </w:tc>
      </w:tr>
      <w:tr w:rsidR="00E43C33" w:rsidRPr="00433DE5" w:rsidTr="00B612DB">
        <w:trPr>
          <w:trHeight w:val="63"/>
          <w:jc w:val="center"/>
        </w:trPr>
        <w:tc>
          <w:tcPr>
            <w:tcW w:w="822" w:type="dxa"/>
            <w:vMerge/>
            <w:tcBorders>
              <w:top w:val="nil"/>
              <w:left w:val="single" w:sz="4" w:space="0" w:color="auto"/>
              <w:bottom w:val="single" w:sz="4" w:space="0" w:color="auto"/>
              <w:right w:val="single" w:sz="4" w:space="0" w:color="auto"/>
            </w:tcBorders>
            <w:vAlign w:val="center"/>
          </w:tcPr>
          <w:p w:rsidR="00E43C33" w:rsidRPr="00433DE5" w:rsidRDefault="00E43C33" w:rsidP="00B612DB">
            <w:pPr>
              <w:rPr>
                <w:rFonts w:ascii="仿宋_GB2312" w:cs="Calibri"/>
                <w:sz w:val="24"/>
                <w:szCs w:val="24"/>
              </w:rPr>
            </w:pPr>
          </w:p>
        </w:tc>
        <w:tc>
          <w:tcPr>
            <w:tcW w:w="663" w:type="dxa"/>
            <w:tcBorders>
              <w:top w:val="single" w:sz="4" w:space="0" w:color="auto"/>
              <w:left w:val="nil"/>
              <w:bottom w:val="single" w:sz="4" w:space="0" w:color="auto"/>
              <w:right w:val="single" w:sz="4" w:space="0" w:color="auto"/>
            </w:tcBorders>
            <w:vAlign w:val="center"/>
          </w:tcPr>
          <w:p w:rsidR="00E43C33" w:rsidRPr="00433DE5" w:rsidRDefault="00E43C33" w:rsidP="00B612DB">
            <w:pPr>
              <w:spacing w:line="500" w:lineRule="exact"/>
              <w:rPr>
                <w:rFonts w:ascii="仿宋_GB2312" w:eastAsia="仿宋_GB2312"/>
                <w:sz w:val="24"/>
                <w:szCs w:val="24"/>
              </w:rPr>
            </w:pPr>
            <w:r w:rsidRPr="00433DE5">
              <w:rPr>
                <w:rFonts w:ascii="仿宋_GB2312" w:eastAsia="仿宋_GB2312" w:hint="eastAsia"/>
                <w:sz w:val="24"/>
                <w:szCs w:val="24"/>
              </w:rPr>
              <w:t>2</w:t>
            </w:r>
          </w:p>
        </w:tc>
        <w:tc>
          <w:tcPr>
            <w:tcW w:w="1135" w:type="dxa"/>
            <w:tcBorders>
              <w:top w:val="single" w:sz="4" w:space="0" w:color="auto"/>
              <w:left w:val="nil"/>
              <w:bottom w:val="single" w:sz="4" w:space="0" w:color="auto"/>
              <w:right w:val="single" w:sz="4" w:space="0" w:color="auto"/>
            </w:tcBorders>
            <w:vAlign w:val="center"/>
          </w:tcPr>
          <w:p w:rsidR="00E43C33" w:rsidRPr="00433DE5" w:rsidRDefault="00E43C33" w:rsidP="00B612DB">
            <w:pPr>
              <w:spacing w:line="500" w:lineRule="exact"/>
              <w:rPr>
                <w:rFonts w:ascii="仿宋_GB2312" w:eastAsia="仿宋_GB2312"/>
                <w:sz w:val="24"/>
                <w:szCs w:val="24"/>
              </w:rPr>
            </w:pPr>
            <w:r w:rsidRPr="00433DE5">
              <w:rPr>
                <w:rFonts w:ascii="仿宋_GB2312" w:eastAsia="仿宋_GB2312" w:hint="eastAsia"/>
                <w:sz w:val="24"/>
                <w:szCs w:val="24"/>
              </w:rPr>
              <w:t>质量保障措施及方案</w:t>
            </w:r>
          </w:p>
        </w:tc>
        <w:tc>
          <w:tcPr>
            <w:tcW w:w="779" w:type="dxa"/>
            <w:tcBorders>
              <w:top w:val="single" w:sz="4" w:space="0" w:color="auto"/>
              <w:left w:val="nil"/>
              <w:bottom w:val="single" w:sz="4" w:space="0" w:color="auto"/>
              <w:right w:val="single" w:sz="4" w:space="0" w:color="auto"/>
            </w:tcBorders>
            <w:vAlign w:val="center"/>
          </w:tcPr>
          <w:p w:rsidR="00E43C33" w:rsidRPr="00433DE5" w:rsidRDefault="00E43C33" w:rsidP="00B612DB">
            <w:pPr>
              <w:spacing w:line="500" w:lineRule="exact"/>
              <w:rPr>
                <w:rFonts w:ascii="仿宋_GB2312" w:eastAsia="仿宋_GB2312"/>
                <w:sz w:val="24"/>
                <w:szCs w:val="24"/>
              </w:rPr>
            </w:pPr>
            <w:r w:rsidRPr="00433DE5">
              <w:rPr>
                <w:rFonts w:ascii="仿宋_GB2312" w:eastAsia="仿宋_GB2312" w:hint="eastAsia"/>
                <w:sz w:val="24"/>
                <w:szCs w:val="24"/>
              </w:rPr>
              <w:t>15</w:t>
            </w:r>
          </w:p>
        </w:tc>
        <w:tc>
          <w:tcPr>
            <w:tcW w:w="967" w:type="dxa"/>
            <w:tcBorders>
              <w:top w:val="single" w:sz="4" w:space="0" w:color="auto"/>
              <w:left w:val="nil"/>
              <w:bottom w:val="single" w:sz="4" w:space="0" w:color="auto"/>
              <w:right w:val="single" w:sz="4" w:space="0" w:color="auto"/>
            </w:tcBorders>
            <w:vAlign w:val="center"/>
          </w:tcPr>
          <w:p w:rsidR="00E43C33" w:rsidRPr="00433DE5" w:rsidRDefault="00E43C33" w:rsidP="00B612DB">
            <w:pPr>
              <w:spacing w:line="500" w:lineRule="exact"/>
              <w:rPr>
                <w:rFonts w:ascii="仿宋_GB2312" w:eastAsia="仿宋_GB2312"/>
                <w:sz w:val="24"/>
                <w:szCs w:val="24"/>
              </w:rPr>
            </w:pPr>
            <w:r w:rsidRPr="00433DE5">
              <w:rPr>
                <w:rFonts w:ascii="仿宋_GB2312" w:eastAsia="仿宋_GB2312" w:hint="eastAsia"/>
                <w:sz w:val="24"/>
                <w:szCs w:val="24"/>
              </w:rPr>
              <w:t>打分</w:t>
            </w:r>
          </w:p>
        </w:tc>
        <w:tc>
          <w:tcPr>
            <w:tcW w:w="4668" w:type="dxa"/>
            <w:tcBorders>
              <w:top w:val="single" w:sz="4" w:space="0" w:color="auto"/>
              <w:left w:val="nil"/>
              <w:bottom w:val="single" w:sz="4" w:space="0" w:color="auto"/>
              <w:right w:val="single" w:sz="4" w:space="0" w:color="auto"/>
            </w:tcBorders>
          </w:tcPr>
          <w:p w:rsidR="00E43C33" w:rsidRPr="00433DE5" w:rsidRDefault="00E43C33" w:rsidP="00B612DB">
            <w:pPr>
              <w:spacing w:line="500" w:lineRule="exact"/>
              <w:ind w:firstLineChars="200" w:firstLine="480"/>
              <w:rPr>
                <w:rFonts w:ascii="仿宋_GB2312" w:eastAsia="仿宋_GB2312"/>
                <w:sz w:val="24"/>
                <w:szCs w:val="24"/>
              </w:rPr>
            </w:pPr>
            <w:r w:rsidRPr="00433DE5">
              <w:rPr>
                <w:rFonts w:ascii="仿宋_GB2312" w:eastAsia="仿宋_GB2312" w:hint="eastAsia"/>
                <w:sz w:val="24"/>
                <w:szCs w:val="24"/>
              </w:rPr>
              <w:t>（一）评审内容： 投标单位车辆维修检测制度、维修车辆技术档案记录制度、安全生产管理制度、各工种和设备安全操作规</w:t>
            </w:r>
            <w:r w:rsidRPr="00433DE5">
              <w:rPr>
                <w:rFonts w:ascii="仿宋_GB2312" w:eastAsia="仿宋_GB2312" w:hint="eastAsia"/>
                <w:sz w:val="24"/>
                <w:szCs w:val="24"/>
              </w:rPr>
              <w:lastRenderedPageBreak/>
              <w:t>程等。 （二）评分标准： 评审委员会根据上述内容进行横向比较，分档打分。方案齐全，表述清晰，结构完整，经评估能有效提升本项目服务质量的评价</w:t>
            </w:r>
            <w:proofErr w:type="gramStart"/>
            <w:r w:rsidRPr="00433DE5">
              <w:rPr>
                <w:rFonts w:ascii="仿宋_GB2312" w:eastAsia="仿宋_GB2312" w:hint="eastAsia"/>
                <w:sz w:val="24"/>
                <w:szCs w:val="24"/>
              </w:rPr>
              <w:t>为优得15分</w:t>
            </w:r>
            <w:proofErr w:type="gramEnd"/>
            <w:r w:rsidRPr="00433DE5">
              <w:rPr>
                <w:rFonts w:ascii="仿宋_GB2312" w:eastAsia="仿宋_GB2312" w:hint="eastAsia"/>
                <w:sz w:val="24"/>
                <w:szCs w:val="24"/>
              </w:rPr>
              <w:t>；方案齐全，表述清晰，结构完整，经评估对本项目服务质量效果一般的评价</w:t>
            </w:r>
            <w:proofErr w:type="gramStart"/>
            <w:r w:rsidRPr="00433DE5">
              <w:rPr>
                <w:rFonts w:ascii="仿宋_GB2312" w:eastAsia="仿宋_GB2312" w:hint="eastAsia"/>
                <w:sz w:val="24"/>
                <w:szCs w:val="24"/>
              </w:rPr>
              <w:t>为良得10分</w:t>
            </w:r>
            <w:proofErr w:type="gramEnd"/>
            <w:r w:rsidRPr="00433DE5">
              <w:rPr>
                <w:rFonts w:ascii="仿宋_GB2312" w:eastAsia="仿宋_GB2312" w:hint="eastAsia"/>
                <w:sz w:val="24"/>
                <w:szCs w:val="24"/>
              </w:rPr>
              <w:t>；方案齐全，但表述不清晰或结构不完整，评价为中得5分；对本项目无总体认识的，评价为差不得分。</w:t>
            </w:r>
          </w:p>
        </w:tc>
      </w:tr>
      <w:tr w:rsidR="00E43C33" w:rsidRPr="00433DE5" w:rsidTr="00B612DB">
        <w:trPr>
          <w:trHeight w:val="63"/>
          <w:jc w:val="center"/>
        </w:trPr>
        <w:tc>
          <w:tcPr>
            <w:tcW w:w="822" w:type="dxa"/>
            <w:vMerge/>
            <w:tcBorders>
              <w:top w:val="nil"/>
              <w:left w:val="single" w:sz="4" w:space="0" w:color="auto"/>
              <w:bottom w:val="single" w:sz="4" w:space="0" w:color="auto"/>
              <w:right w:val="single" w:sz="4" w:space="0" w:color="auto"/>
            </w:tcBorders>
            <w:vAlign w:val="center"/>
          </w:tcPr>
          <w:p w:rsidR="00E43C33" w:rsidRPr="00433DE5" w:rsidRDefault="00E43C33" w:rsidP="00B612DB">
            <w:pPr>
              <w:rPr>
                <w:rFonts w:ascii="仿宋_GB2312" w:cs="Calibri"/>
                <w:sz w:val="24"/>
                <w:szCs w:val="24"/>
              </w:rPr>
            </w:pPr>
          </w:p>
        </w:tc>
        <w:tc>
          <w:tcPr>
            <w:tcW w:w="663" w:type="dxa"/>
            <w:tcBorders>
              <w:top w:val="single" w:sz="4" w:space="0" w:color="auto"/>
              <w:left w:val="nil"/>
              <w:bottom w:val="single" w:sz="4" w:space="0" w:color="auto"/>
              <w:right w:val="single" w:sz="4" w:space="0" w:color="auto"/>
            </w:tcBorders>
            <w:vAlign w:val="center"/>
          </w:tcPr>
          <w:p w:rsidR="00E43C33" w:rsidRPr="00433DE5" w:rsidRDefault="00E43C33" w:rsidP="00B612DB">
            <w:pPr>
              <w:snapToGrid w:val="0"/>
              <w:rPr>
                <w:rFonts w:ascii="仿宋_GB2312" w:cs="仿宋_GB2312"/>
                <w:sz w:val="24"/>
                <w:szCs w:val="24"/>
              </w:rPr>
            </w:pPr>
            <w:r w:rsidRPr="00433DE5">
              <w:rPr>
                <w:rFonts w:ascii="仿宋_GB2312" w:cs="仿宋_GB2312" w:hint="eastAsia"/>
                <w:sz w:val="24"/>
                <w:szCs w:val="24"/>
              </w:rPr>
              <w:t>3</w:t>
            </w:r>
          </w:p>
        </w:tc>
        <w:tc>
          <w:tcPr>
            <w:tcW w:w="1135" w:type="dxa"/>
            <w:tcBorders>
              <w:top w:val="single" w:sz="4" w:space="0" w:color="auto"/>
              <w:left w:val="nil"/>
              <w:bottom w:val="single" w:sz="4" w:space="0" w:color="auto"/>
              <w:right w:val="single" w:sz="4" w:space="0" w:color="auto"/>
            </w:tcBorders>
            <w:vAlign w:val="center"/>
          </w:tcPr>
          <w:p w:rsidR="00E43C33" w:rsidRPr="00433DE5" w:rsidRDefault="00E43C33" w:rsidP="00B612DB">
            <w:pPr>
              <w:spacing w:line="500" w:lineRule="exact"/>
              <w:rPr>
                <w:rFonts w:ascii="仿宋_GB2312" w:eastAsia="仿宋_GB2312"/>
                <w:sz w:val="24"/>
                <w:szCs w:val="24"/>
              </w:rPr>
            </w:pPr>
            <w:r w:rsidRPr="00433DE5">
              <w:rPr>
                <w:rFonts w:ascii="仿宋_GB2312" w:eastAsia="仿宋_GB2312" w:hint="eastAsia"/>
                <w:sz w:val="24"/>
                <w:szCs w:val="24"/>
              </w:rPr>
              <w:t>应急维修方案</w:t>
            </w:r>
          </w:p>
        </w:tc>
        <w:tc>
          <w:tcPr>
            <w:tcW w:w="779" w:type="dxa"/>
            <w:tcBorders>
              <w:top w:val="single" w:sz="4" w:space="0" w:color="auto"/>
              <w:left w:val="nil"/>
              <w:bottom w:val="single" w:sz="4" w:space="0" w:color="auto"/>
              <w:right w:val="single" w:sz="4" w:space="0" w:color="auto"/>
            </w:tcBorders>
            <w:vAlign w:val="center"/>
          </w:tcPr>
          <w:p w:rsidR="00E43C33" w:rsidRPr="00433DE5" w:rsidRDefault="00E43C33" w:rsidP="00B612DB">
            <w:pPr>
              <w:spacing w:line="500" w:lineRule="exact"/>
              <w:rPr>
                <w:rFonts w:ascii="仿宋_GB2312" w:eastAsia="仿宋_GB2312"/>
                <w:sz w:val="24"/>
                <w:szCs w:val="24"/>
              </w:rPr>
            </w:pPr>
            <w:r w:rsidRPr="00433DE5">
              <w:rPr>
                <w:rFonts w:ascii="仿宋_GB2312" w:eastAsia="仿宋_GB2312" w:hint="eastAsia"/>
                <w:sz w:val="24"/>
                <w:szCs w:val="24"/>
              </w:rPr>
              <w:t>15</w:t>
            </w:r>
          </w:p>
        </w:tc>
        <w:tc>
          <w:tcPr>
            <w:tcW w:w="967" w:type="dxa"/>
            <w:tcBorders>
              <w:top w:val="single" w:sz="4" w:space="0" w:color="auto"/>
              <w:left w:val="nil"/>
              <w:bottom w:val="single" w:sz="4" w:space="0" w:color="auto"/>
              <w:right w:val="single" w:sz="4" w:space="0" w:color="auto"/>
            </w:tcBorders>
            <w:vAlign w:val="center"/>
          </w:tcPr>
          <w:p w:rsidR="00E43C33" w:rsidRPr="00433DE5" w:rsidRDefault="00E43C33" w:rsidP="00B612DB">
            <w:pPr>
              <w:spacing w:line="500" w:lineRule="exact"/>
              <w:rPr>
                <w:rFonts w:ascii="仿宋_GB2312" w:eastAsia="仿宋_GB2312"/>
                <w:sz w:val="24"/>
                <w:szCs w:val="24"/>
              </w:rPr>
            </w:pPr>
            <w:r w:rsidRPr="00433DE5">
              <w:rPr>
                <w:rFonts w:ascii="仿宋_GB2312" w:eastAsia="仿宋_GB2312" w:hint="eastAsia"/>
                <w:sz w:val="24"/>
                <w:szCs w:val="24"/>
              </w:rPr>
              <w:t>打分</w:t>
            </w:r>
          </w:p>
        </w:tc>
        <w:tc>
          <w:tcPr>
            <w:tcW w:w="4668" w:type="dxa"/>
            <w:tcBorders>
              <w:top w:val="single" w:sz="4" w:space="0" w:color="auto"/>
              <w:left w:val="nil"/>
              <w:bottom w:val="single" w:sz="4" w:space="0" w:color="auto"/>
              <w:right w:val="single" w:sz="4" w:space="0" w:color="auto"/>
            </w:tcBorders>
          </w:tcPr>
          <w:p w:rsidR="00E43C33" w:rsidRPr="00433DE5" w:rsidRDefault="00E43C33" w:rsidP="00B612DB">
            <w:pPr>
              <w:spacing w:line="500" w:lineRule="exact"/>
              <w:ind w:firstLineChars="200" w:firstLine="480"/>
              <w:rPr>
                <w:rFonts w:ascii="仿宋_GB2312" w:eastAsia="仿宋_GB2312"/>
                <w:sz w:val="24"/>
                <w:szCs w:val="24"/>
              </w:rPr>
            </w:pPr>
            <w:r w:rsidRPr="00433DE5">
              <w:rPr>
                <w:rFonts w:ascii="仿宋_GB2312" w:eastAsia="仿宋_GB2312" w:hint="eastAsia"/>
                <w:sz w:val="24"/>
                <w:szCs w:val="24"/>
              </w:rPr>
              <w:t>（一）评审内容： 本项目存在应急维修的情况，要求供应商在短时间内到达现场处理问题，故投标供应商需根据以上服务需求提供相应服务方案，包括但不限于应急维修流程、设备和人员配置、应急维修承诺等内容。 （二）评分标准： 评审委员会根据上述内容进行横向比较，分档打分。方案齐全，表述清晰，结构完整，其应急维修效率及服务质量高的评价</w:t>
            </w:r>
            <w:proofErr w:type="gramStart"/>
            <w:r w:rsidRPr="00433DE5">
              <w:rPr>
                <w:rFonts w:ascii="仿宋_GB2312" w:eastAsia="仿宋_GB2312" w:hint="eastAsia"/>
                <w:sz w:val="24"/>
                <w:szCs w:val="24"/>
              </w:rPr>
              <w:t>为优得15分</w:t>
            </w:r>
            <w:proofErr w:type="gramEnd"/>
            <w:r w:rsidRPr="00433DE5">
              <w:rPr>
                <w:rFonts w:ascii="仿宋_GB2312" w:eastAsia="仿宋_GB2312" w:hint="eastAsia"/>
                <w:sz w:val="24"/>
                <w:szCs w:val="24"/>
              </w:rPr>
              <w:t>；方案齐全，表述清晰，结构完整，其应急维修效率及服务质量一般的评价</w:t>
            </w:r>
            <w:proofErr w:type="gramStart"/>
            <w:r w:rsidRPr="00433DE5">
              <w:rPr>
                <w:rFonts w:ascii="仿宋_GB2312" w:eastAsia="仿宋_GB2312" w:hint="eastAsia"/>
                <w:sz w:val="24"/>
                <w:szCs w:val="24"/>
              </w:rPr>
              <w:t>为良得10分</w:t>
            </w:r>
            <w:proofErr w:type="gramEnd"/>
            <w:r w:rsidRPr="00433DE5">
              <w:rPr>
                <w:rFonts w:ascii="仿宋_GB2312" w:eastAsia="仿宋_GB2312" w:hint="eastAsia"/>
                <w:sz w:val="24"/>
                <w:szCs w:val="24"/>
              </w:rPr>
              <w:t>；方案齐全，但表述不清晰或结构不完整，评价为中得5分；对本项目无总体认识的，评价为差不得分。</w:t>
            </w:r>
          </w:p>
        </w:tc>
      </w:tr>
      <w:tr w:rsidR="00E43C33" w:rsidRPr="00433DE5" w:rsidTr="00B612DB">
        <w:trPr>
          <w:trHeight w:val="63"/>
          <w:jc w:val="center"/>
        </w:trPr>
        <w:tc>
          <w:tcPr>
            <w:tcW w:w="822" w:type="dxa"/>
            <w:vMerge/>
            <w:tcBorders>
              <w:top w:val="nil"/>
              <w:left w:val="single" w:sz="4" w:space="0" w:color="auto"/>
              <w:bottom w:val="single" w:sz="4" w:space="0" w:color="auto"/>
              <w:right w:val="single" w:sz="4" w:space="0" w:color="auto"/>
            </w:tcBorders>
            <w:vAlign w:val="center"/>
          </w:tcPr>
          <w:p w:rsidR="00E43C33" w:rsidRPr="00433DE5" w:rsidRDefault="00E43C33" w:rsidP="00B612DB">
            <w:pPr>
              <w:rPr>
                <w:rFonts w:ascii="仿宋_GB2312" w:cs="Calibri"/>
                <w:sz w:val="24"/>
                <w:szCs w:val="24"/>
              </w:rPr>
            </w:pPr>
          </w:p>
        </w:tc>
        <w:tc>
          <w:tcPr>
            <w:tcW w:w="663" w:type="dxa"/>
            <w:tcBorders>
              <w:top w:val="single" w:sz="4" w:space="0" w:color="auto"/>
              <w:left w:val="nil"/>
              <w:bottom w:val="single" w:sz="4" w:space="0" w:color="auto"/>
              <w:right w:val="single" w:sz="4" w:space="0" w:color="auto"/>
            </w:tcBorders>
            <w:vAlign w:val="center"/>
          </w:tcPr>
          <w:p w:rsidR="00E43C33" w:rsidRPr="00433DE5" w:rsidRDefault="00E43C33" w:rsidP="00B612DB">
            <w:pPr>
              <w:snapToGrid w:val="0"/>
              <w:rPr>
                <w:rFonts w:ascii="仿宋_GB2312" w:cs="仿宋_GB2312"/>
                <w:sz w:val="24"/>
                <w:szCs w:val="24"/>
              </w:rPr>
            </w:pPr>
            <w:r w:rsidRPr="00433DE5">
              <w:rPr>
                <w:rFonts w:ascii="仿宋_GB2312" w:cs="仿宋_GB2312" w:hint="eastAsia"/>
                <w:sz w:val="24"/>
                <w:szCs w:val="24"/>
              </w:rPr>
              <w:t>4</w:t>
            </w:r>
          </w:p>
        </w:tc>
        <w:tc>
          <w:tcPr>
            <w:tcW w:w="1135" w:type="dxa"/>
            <w:tcBorders>
              <w:top w:val="single" w:sz="4" w:space="0" w:color="auto"/>
              <w:left w:val="nil"/>
              <w:bottom w:val="single" w:sz="4" w:space="0" w:color="auto"/>
              <w:right w:val="single" w:sz="4" w:space="0" w:color="auto"/>
            </w:tcBorders>
            <w:vAlign w:val="center"/>
          </w:tcPr>
          <w:p w:rsidR="00E43C33" w:rsidRPr="00433DE5" w:rsidRDefault="00E43C33" w:rsidP="00B612DB">
            <w:pPr>
              <w:spacing w:line="500" w:lineRule="exact"/>
              <w:rPr>
                <w:rFonts w:ascii="仿宋_GB2312" w:eastAsia="仿宋_GB2312"/>
                <w:sz w:val="24"/>
                <w:szCs w:val="24"/>
              </w:rPr>
            </w:pPr>
            <w:r w:rsidRPr="00433DE5">
              <w:rPr>
                <w:rFonts w:ascii="仿宋_GB2312" w:eastAsia="仿宋_GB2312" w:hint="eastAsia"/>
                <w:sz w:val="24"/>
                <w:szCs w:val="24"/>
              </w:rPr>
              <w:t>服务承诺</w:t>
            </w:r>
          </w:p>
        </w:tc>
        <w:tc>
          <w:tcPr>
            <w:tcW w:w="779" w:type="dxa"/>
            <w:tcBorders>
              <w:top w:val="single" w:sz="4" w:space="0" w:color="auto"/>
              <w:left w:val="nil"/>
              <w:bottom w:val="single" w:sz="4" w:space="0" w:color="auto"/>
              <w:right w:val="single" w:sz="4" w:space="0" w:color="auto"/>
            </w:tcBorders>
            <w:vAlign w:val="center"/>
          </w:tcPr>
          <w:p w:rsidR="00E43C33" w:rsidRPr="00433DE5" w:rsidRDefault="00E43C33" w:rsidP="00B612DB">
            <w:pPr>
              <w:spacing w:line="500" w:lineRule="exact"/>
              <w:rPr>
                <w:rFonts w:ascii="仿宋_GB2312" w:eastAsia="仿宋_GB2312"/>
                <w:sz w:val="24"/>
                <w:szCs w:val="24"/>
              </w:rPr>
            </w:pPr>
            <w:r w:rsidRPr="00433DE5">
              <w:rPr>
                <w:rFonts w:ascii="仿宋_GB2312" w:eastAsia="仿宋_GB2312" w:hint="eastAsia"/>
                <w:sz w:val="24"/>
                <w:szCs w:val="24"/>
              </w:rPr>
              <w:t>15</w:t>
            </w:r>
          </w:p>
        </w:tc>
        <w:tc>
          <w:tcPr>
            <w:tcW w:w="967" w:type="dxa"/>
            <w:tcBorders>
              <w:top w:val="single" w:sz="4" w:space="0" w:color="auto"/>
              <w:left w:val="nil"/>
              <w:bottom w:val="single" w:sz="4" w:space="0" w:color="auto"/>
              <w:right w:val="single" w:sz="4" w:space="0" w:color="auto"/>
            </w:tcBorders>
            <w:vAlign w:val="center"/>
          </w:tcPr>
          <w:p w:rsidR="00E43C33" w:rsidRPr="00433DE5" w:rsidRDefault="00E43C33" w:rsidP="00B612DB">
            <w:pPr>
              <w:spacing w:line="500" w:lineRule="exact"/>
              <w:rPr>
                <w:rFonts w:ascii="仿宋_GB2312" w:eastAsia="仿宋_GB2312"/>
                <w:sz w:val="24"/>
                <w:szCs w:val="24"/>
              </w:rPr>
            </w:pPr>
            <w:r w:rsidRPr="00433DE5">
              <w:rPr>
                <w:rFonts w:ascii="仿宋_GB2312" w:eastAsia="仿宋_GB2312" w:hint="eastAsia"/>
                <w:sz w:val="24"/>
                <w:szCs w:val="24"/>
              </w:rPr>
              <w:t>打分</w:t>
            </w:r>
          </w:p>
        </w:tc>
        <w:tc>
          <w:tcPr>
            <w:tcW w:w="4668" w:type="dxa"/>
            <w:tcBorders>
              <w:top w:val="single" w:sz="4" w:space="0" w:color="auto"/>
              <w:left w:val="nil"/>
              <w:bottom w:val="single" w:sz="4" w:space="0" w:color="auto"/>
              <w:right w:val="single" w:sz="4" w:space="0" w:color="auto"/>
            </w:tcBorders>
          </w:tcPr>
          <w:p w:rsidR="00E43C33" w:rsidRPr="00433DE5" w:rsidRDefault="00E43C33" w:rsidP="00B612DB">
            <w:pPr>
              <w:spacing w:line="500" w:lineRule="exact"/>
              <w:ind w:firstLineChars="200" w:firstLine="480"/>
              <w:rPr>
                <w:rFonts w:ascii="仿宋_GB2312" w:eastAsia="仿宋_GB2312"/>
                <w:sz w:val="24"/>
                <w:szCs w:val="24"/>
              </w:rPr>
            </w:pPr>
            <w:r w:rsidRPr="00433DE5">
              <w:rPr>
                <w:rFonts w:ascii="仿宋_GB2312" w:eastAsia="仿宋_GB2312" w:hint="eastAsia"/>
                <w:sz w:val="24"/>
                <w:szCs w:val="24"/>
              </w:rPr>
              <w:t>投标单位的服务承诺详尽全面且优于招标文件，并能承诺提供额外的增值服务来提升本项目的评价</w:t>
            </w:r>
            <w:proofErr w:type="gramStart"/>
            <w:r w:rsidRPr="00433DE5">
              <w:rPr>
                <w:rFonts w:ascii="仿宋_GB2312" w:eastAsia="仿宋_GB2312" w:hint="eastAsia"/>
                <w:sz w:val="24"/>
                <w:szCs w:val="24"/>
              </w:rPr>
              <w:t>为优得15分</w:t>
            </w:r>
            <w:proofErr w:type="gramEnd"/>
            <w:r w:rsidRPr="00433DE5">
              <w:rPr>
                <w:rFonts w:ascii="仿宋_GB2312" w:eastAsia="仿宋_GB2312" w:hint="eastAsia"/>
                <w:sz w:val="24"/>
                <w:szCs w:val="24"/>
              </w:rPr>
              <w:t>；投标单位按招标文件要求提供服务承诺，承诺内容全面性一般的评价</w:t>
            </w:r>
            <w:proofErr w:type="gramStart"/>
            <w:r w:rsidRPr="00433DE5">
              <w:rPr>
                <w:rFonts w:ascii="仿宋_GB2312" w:eastAsia="仿宋_GB2312" w:hint="eastAsia"/>
                <w:sz w:val="24"/>
                <w:szCs w:val="24"/>
              </w:rPr>
              <w:t>为良得10分</w:t>
            </w:r>
            <w:proofErr w:type="gramEnd"/>
            <w:r w:rsidRPr="00433DE5">
              <w:rPr>
                <w:rFonts w:ascii="仿宋_GB2312" w:eastAsia="仿宋_GB2312" w:hint="eastAsia"/>
                <w:sz w:val="24"/>
                <w:szCs w:val="24"/>
              </w:rPr>
              <w:t>；投标按招标文件要求提供服务承诺，但承诺内容不详细的评价为中5分；投标单位未按招标文件要求提供服务承诺或未提供服务承诺的评价为差，不得分。</w:t>
            </w:r>
          </w:p>
        </w:tc>
      </w:tr>
      <w:tr w:rsidR="00E43C33" w:rsidRPr="00433DE5" w:rsidTr="00B612DB">
        <w:trPr>
          <w:trHeight w:val="63"/>
          <w:jc w:val="center"/>
        </w:trPr>
        <w:tc>
          <w:tcPr>
            <w:tcW w:w="822" w:type="dxa"/>
            <w:vMerge/>
            <w:tcBorders>
              <w:top w:val="nil"/>
              <w:left w:val="single" w:sz="4" w:space="0" w:color="auto"/>
              <w:bottom w:val="nil"/>
              <w:right w:val="single" w:sz="4" w:space="0" w:color="auto"/>
            </w:tcBorders>
            <w:vAlign w:val="center"/>
          </w:tcPr>
          <w:p w:rsidR="00E43C33" w:rsidRPr="00433DE5" w:rsidRDefault="00E43C33" w:rsidP="00B612DB">
            <w:pPr>
              <w:rPr>
                <w:rFonts w:ascii="仿宋_GB2312" w:cs="Calibri"/>
                <w:sz w:val="24"/>
                <w:szCs w:val="24"/>
              </w:rPr>
            </w:pPr>
          </w:p>
        </w:tc>
        <w:tc>
          <w:tcPr>
            <w:tcW w:w="663" w:type="dxa"/>
            <w:tcBorders>
              <w:top w:val="single" w:sz="4" w:space="0" w:color="auto"/>
              <w:left w:val="nil"/>
              <w:bottom w:val="single" w:sz="4" w:space="0" w:color="auto"/>
              <w:right w:val="single" w:sz="4" w:space="0" w:color="auto"/>
            </w:tcBorders>
            <w:vAlign w:val="center"/>
          </w:tcPr>
          <w:p w:rsidR="00E43C33" w:rsidRPr="00433DE5" w:rsidRDefault="00E43C33" w:rsidP="00B612DB">
            <w:pPr>
              <w:snapToGrid w:val="0"/>
              <w:rPr>
                <w:rFonts w:ascii="仿宋_GB2312" w:cs="仿宋_GB2312"/>
                <w:sz w:val="24"/>
                <w:szCs w:val="24"/>
              </w:rPr>
            </w:pPr>
            <w:r w:rsidRPr="00433DE5">
              <w:rPr>
                <w:rFonts w:ascii="仿宋_GB2312" w:cs="仿宋_GB2312" w:hint="eastAsia"/>
                <w:sz w:val="24"/>
                <w:szCs w:val="24"/>
              </w:rPr>
              <w:t>5</w:t>
            </w:r>
          </w:p>
        </w:tc>
        <w:tc>
          <w:tcPr>
            <w:tcW w:w="1135" w:type="dxa"/>
            <w:tcBorders>
              <w:top w:val="single" w:sz="4" w:space="0" w:color="auto"/>
              <w:left w:val="nil"/>
              <w:bottom w:val="single" w:sz="4" w:space="0" w:color="auto"/>
              <w:right w:val="single" w:sz="4" w:space="0" w:color="auto"/>
            </w:tcBorders>
            <w:vAlign w:val="center"/>
          </w:tcPr>
          <w:p w:rsidR="00E43C33" w:rsidRPr="00433DE5" w:rsidRDefault="00E43C33" w:rsidP="00B612DB">
            <w:pPr>
              <w:spacing w:line="500" w:lineRule="exact"/>
              <w:rPr>
                <w:rFonts w:ascii="仿宋_GB2312" w:eastAsia="仿宋_GB2312"/>
                <w:sz w:val="24"/>
                <w:szCs w:val="24"/>
              </w:rPr>
            </w:pPr>
            <w:r w:rsidRPr="00433DE5">
              <w:rPr>
                <w:rFonts w:ascii="仿宋_GB2312" w:eastAsia="仿宋_GB2312" w:hint="eastAsia"/>
                <w:sz w:val="24"/>
                <w:szCs w:val="24"/>
              </w:rPr>
              <w:t>维修费</w:t>
            </w:r>
            <w:proofErr w:type="gramStart"/>
            <w:r w:rsidRPr="00433DE5">
              <w:rPr>
                <w:rFonts w:ascii="仿宋_GB2312" w:eastAsia="仿宋_GB2312" w:hint="eastAsia"/>
                <w:sz w:val="24"/>
                <w:szCs w:val="24"/>
              </w:rPr>
              <w:t>用制定</w:t>
            </w:r>
            <w:proofErr w:type="gramEnd"/>
            <w:r w:rsidRPr="00433DE5">
              <w:rPr>
                <w:rFonts w:ascii="仿宋_GB2312" w:eastAsia="仿宋_GB2312" w:hint="eastAsia"/>
                <w:sz w:val="24"/>
                <w:szCs w:val="24"/>
              </w:rPr>
              <w:t>合理性</w:t>
            </w:r>
          </w:p>
        </w:tc>
        <w:tc>
          <w:tcPr>
            <w:tcW w:w="779" w:type="dxa"/>
            <w:tcBorders>
              <w:top w:val="single" w:sz="4" w:space="0" w:color="auto"/>
              <w:left w:val="nil"/>
              <w:bottom w:val="single" w:sz="4" w:space="0" w:color="auto"/>
              <w:right w:val="single" w:sz="4" w:space="0" w:color="auto"/>
            </w:tcBorders>
            <w:vAlign w:val="center"/>
          </w:tcPr>
          <w:p w:rsidR="00E43C33" w:rsidRPr="00433DE5" w:rsidRDefault="00E43C33" w:rsidP="00B612DB">
            <w:pPr>
              <w:spacing w:line="500" w:lineRule="exact"/>
              <w:rPr>
                <w:rFonts w:ascii="仿宋_GB2312" w:eastAsia="仿宋_GB2312"/>
                <w:sz w:val="24"/>
                <w:szCs w:val="24"/>
              </w:rPr>
            </w:pPr>
            <w:r w:rsidRPr="00433DE5">
              <w:rPr>
                <w:rFonts w:ascii="仿宋_GB2312" w:eastAsia="仿宋_GB2312" w:hint="eastAsia"/>
                <w:sz w:val="24"/>
                <w:szCs w:val="24"/>
              </w:rPr>
              <w:t>10</w:t>
            </w:r>
          </w:p>
        </w:tc>
        <w:tc>
          <w:tcPr>
            <w:tcW w:w="967" w:type="dxa"/>
            <w:tcBorders>
              <w:top w:val="single" w:sz="4" w:space="0" w:color="auto"/>
              <w:left w:val="nil"/>
              <w:bottom w:val="single" w:sz="4" w:space="0" w:color="auto"/>
              <w:right w:val="single" w:sz="4" w:space="0" w:color="auto"/>
            </w:tcBorders>
            <w:vAlign w:val="center"/>
          </w:tcPr>
          <w:p w:rsidR="00E43C33" w:rsidRPr="00433DE5" w:rsidRDefault="00E43C33" w:rsidP="00B612DB">
            <w:pPr>
              <w:spacing w:line="500" w:lineRule="exact"/>
              <w:rPr>
                <w:rFonts w:ascii="仿宋_GB2312" w:eastAsia="仿宋_GB2312"/>
                <w:sz w:val="24"/>
                <w:szCs w:val="24"/>
              </w:rPr>
            </w:pPr>
            <w:r w:rsidRPr="00433DE5">
              <w:rPr>
                <w:rFonts w:ascii="仿宋_GB2312" w:eastAsia="仿宋_GB2312" w:hint="eastAsia"/>
                <w:sz w:val="24"/>
                <w:szCs w:val="24"/>
              </w:rPr>
              <w:t>打分</w:t>
            </w:r>
          </w:p>
        </w:tc>
        <w:tc>
          <w:tcPr>
            <w:tcW w:w="4668" w:type="dxa"/>
            <w:tcBorders>
              <w:top w:val="single" w:sz="4" w:space="0" w:color="auto"/>
              <w:left w:val="nil"/>
              <w:bottom w:val="single" w:sz="4" w:space="0" w:color="auto"/>
              <w:right w:val="single" w:sz="4" w:space="0" w:color="auto"/>
            </w:tcBorders>
          </w:tcPr>
          <w:p w:rsidR="00E43C33" w:rsidRPr="00433DE5" w:rsidRDefault="00E43C33" w:rsidP="00B612DB">
            <w:pPr>
              <w:spacing w:line="500" w:lineRule="exact"/>
              <w:ind w:firstLineChars="200" w:firstLine="480"/>
              <w:rPr>
                <w:rFonts w:ascii="仿宋_GB2312" w:eastAsia="仿宋_GB2312"/>
                <w:sz w:val="24"/>
                <w:szCs w:val="24"/>
              </w:rPr>
            </w:pPr>
            <w:r w:rsidRPr="00433DE5">
              <w:rPr>
                <w:rFonts w:ascii="仿宋_GB2312" w:eastAsia="仿宋_GB2312" w:hint="eastAsia"/>
                <w:sz w:val="24"/>
                <w:szCs w:val="24"/>
              </w:rPr>
              <w:t>具有详细的维修项目费用明细，对项目中各项可能之处考虑全面细致，经费使用比例参照相应规定，按照投标文件响应情况进行横向比较，分档评分：非常</w:t>
            </w:r>
            <w:proofErr w:type="gramStart"/>
            <w:r w:rsidRPr="00433DE5">
              <w:rPr>
                <w:rFonts w:ascii="仿宋_GB2312" w:eastAsia="仿宋_GB2312" w:hint="eastAsia"/>
                <w:sz w:val="24"/>
                <w:szCs w:val="24"/>
              </w:rPr>
              <w:t>好的且</w:t>
            </w:r>
            <w:proofErr w:type="gramEnd"/>
            <w:r w:rsidRPr="00433DE5">
              <w:rPr>
                <w:rFonts w:ascii="仿宋_GB2312" w:eastAsia="仿宋_GB2312" w:hint="eastAsia"/>
                <w:sz w:val="24"/>
                <w:szCs w:val="24"/>
              </w:rPr>
              <w:t>符合要求的评价为优，得10分；比较好评价为良，得7分；一般的评价为中，得4分；不符合要求的评价为差，不得分。</w:t>
            </w:r>
          </w:p>
        </w:tc>
      </w:tr>
      <w:tr w:rsidR="00E43C33" w:rsidRPr="00433DE5" w:rsidTr="00B612DB">
        <w:trPr>
          <w:trHeight w:val="63"/>
          <w:jc w:val="center"/>
        </w:trPr>
        <w:tc>
          <w:tcPr>
            <w:tcW w:w="822" w:type="dxa"/>
            <w:tcBorders>
              <w:top w:val="nil"/>
              <w:left w:val="single" w:sz="4" w:space="0" w:color="auto"/>
              <w:bottom w:val="single" w:sz="4" w:space="0" w:color="auto"/>
              <w:right w:val="single" w:sz="4" w:space="0" w:color="auto"/>
            </w:tcBorders>
            <w:vAlign w:val="center"/>
          </w:tcPr>
          <w:p w:rsidR="00E43C33" w:rsidRPr="00433DE5" w:rsidRDefault="00E43C33" w:rsidP="00B612DB">
            <w:pPr>
              <w:rPr>
                <w:rFonts w:ascii="仿宋_GB2312" w:cs="Calibri"/>
                <w:sz w:val="24"/>
                <w:szCs w:val="24"/>
              </w:rPr>
            </w:pPr>
          </w:p>
        </w:tc>
        <w:tc>
          <w:tcPr>
            <w:tcW w:w="663" w:type="dxa"/>
            <w:tcBorders>
              <w:top w:val="single" w:sz="4" w:space="0" w:color="auto"/>
              <w:left w:val="nil"/>
              <w:bottom w:val="single" w:sz="4" w:space="0" w:color="auto"/>
              <w:right w:val="single" w:sz="4" w:space="0" w:color="auto"/>
            </w:tcBorders>
            <w:vAlign w:val="center"/>
          </w:tcPr>
          <w:p w:rsidR="00E43C33" w:rsidRPr="00433DE5" w:rsidRDefault="00E43C33" w:rsidP="00B612DB">
            <w:pPr>
              <w:snapToGrid w:val="0"/>
              <w:jc w:val="center"/>
              <w:rPr>
                <w:rFonts w:ascii="仿宋_GB2312" w:cs="仿宋_GB2312"/>
                <w:sz w:val="24"/>
                <w:szCs w:val="24"/>
              </w:rPr>
            </w:pPr>
          </w:p>
        </w:tc>
        <w:tc>
          <w:tcPr>
            <w:tcW w:w="1135" w:type="dxa"/>
            <w:tcBorders>
              <w:top w:val="single" w:sz="4" w:space="0" w:color="auto"/>
              <w:left w:val="nil"/>
              <w:bottom w:val="single" w:sz="4" w:space="0" w:color="auto"/>
              <w:right w:val="single" w:sz="4" w:space="0" w:color="auto"/>
            </w:tcBorders>
            <w:vAlign w:val="center"/>
          </w:tcPr>
          <w:p w:rsidR="00E43C33" w:rsidRPr="00433DE5" w:rsidRDefault="00E43C33" w:rsidP="00B612DB">
            <w:pPr>
              <w:spacing w:line="500" w:lineRule="exact"/>
              <w:rPr>
                <w:rFonts w:ascii="仿宋_GB2312" w:eastAsia="仿宋_GB2312"/>
                <w:sz w:val="24"/>
                <w:szCs w:val="24"/>
              </w:rPr>
            </w:pPr>
            <w:r w:rsidRPr="00433DE5">
              <w:rPr>
                <w:rFonts w:ascii="仿宋_GB2312" w:eastAsia="仿宋_GB2312" w:hint="eastAsia"/>
                <w:sz w:val="24"/>
                <w:szCs w:val="24"/>
              </w:rPr>
              <w:t>维修场地</w:t>
            </w:r>
          </w:p>
        </w:tc>
        <w:tc>
          <w:tcPr>
            <w:tcW w:w="779" w:type="dxa"/>
            <w:tcBorders>
              <w:top w:val="single" w:sz="4" w:space="0" w:color="auto"/>
              <w:left w:val="nil"/>
              <w:bottom w:val="single" w:sz="4" w:space="0" w:color="auto"/>
              <w:right w:val="single" w:sz="4" w:space="0" w:color="auto"/>
            </w:tcBorders>
            <w:vAlign w:val="center"/>
          </w:tcPr>
          <w:p w:rsidR="00E43C33" w:rsidRPr="00433DE5" w:rsidRDefault="00E43C33" w:rsidP="00B612DB">
            <w:pPr>
              <w:spacing w:line="500" w:lineRule="exact"/>
              <w:rPr>
                <w:rFonts w:ascii="仿宋_GB2312" w:eastAsia="仿宋_GB2312"/>
                <w:sz w:val="24"/>
                <w:szCs w:val="24"/>
              </w:rPr>
            </w:pPr>
            <w:r w:rsidRPr="00433DE5">
              <w:rPr>
                <w:rFonts w:ascii="仿宋_GB2312" w:eastAsia="仿宋_GB2312" w:hint="eastAsia"/>
                <w:sz w:val="24"/>
                <w:szCs w:val="24"/>
              </w:rPr>
              <w:t>10</w:t>
            </w:r>
          </w:p>
        </w:tc>
        <w:tc>
          <w:tcPr>
            <w:tcW w:w="967" w:type="dxa"/>
            <w:tcBorders>
              <w:top w:val="single" w:sz="4" w:space="0" w:color="auto"/>
              <w:left w:val="nil"/>
              <w:bottom w:val="single" w:sz="4" w:space="0" w:color="auto"/>
              <w:right w:val="single" w:sz="4" w:space="0" w:color="auto"/>
            </w:tcBorders>
            <w:vAlign w:val="center"/>
          </w:tcPr>
          <w:p w:rsidR="00E43C33" w:rsidRPr="00433DE5" w:rsidRDefault="00E43C33" w:rsidP="00B612DB">
            <w:pPr>
              <w:spacing w:line="500" w:lineRule="exact"/>
              <w:rPr>
                <w:rFonts w:ascii="仿宋_GB2312" w:eastAsia="仿宋_GB2312"/>
                <w:sz w:val="24"/>
                <w:szCs w:val="24"/>
              </w:rPr>
            </w:pPr>
            <w:r w:rsidRPr="00433DE5">
              <w:rPr>
                <w:rFonts w:ascii="仿宋_GB2312" w:eastAsia="仿宋_GB2312" w:hint="eastAsia"/>
                <w:sz w:val="24"/>
                <w:szCs w:val="24"/>
              </w:rPr>
              <w:t>打分</w:t>
            </w:r>
          </w:p>
        </w:tc>
        <w:tc>
          <w:tcPr>
            <w:tcW w:w="4668" w:type="dxa"/>
            <w:tcBorders>
              <w:top w:val="single" w:sz="4" w:space="0" w:color="auto"/>
              <w:left w:val="nil"/>
              <w:bottom w:val="single" w:sz="4" w:space="0" w:color="auto"/>
              <w:right w:val="single" w:sz="4" w:space="0" w:color="auto"/>
            </w:tcBorders>
          </w:tcPr>
          <w:p w:rsidR="00E43C33" w:rsidRPr="00433DE5" w:rsidRDefault="00E43C33" w:rsidP="00B612DB">
            <w:pPr>
              <w:spacing w:line="500" w:lineRule="exact"/>
              <w:ind w:firstLineChars="200" w:firstLine="480"/>
              <w:rPr>
                <w:rFonts w:ascii="仿宋_GB2312" w:eastAsia="仿宋_GB2312"/>
                <w:sz w:val="24"/>
                <w:szCs w:val="24"/>
              </w:rPr>
            </w:pPr>
            <w:r w:rsidRPr="00433DE5">
              <w:rPr>
                <w:rFonts w:ascii="仿宋_GB2312" w:eastAsia="仿宋_GB2312" w:hint="eastAsia"/>
                <w:sz w:val="24"/>
                <w:szCs w:val="24"/>
              </w:rPr>
              <w:t xml:space="preserve"> 在本项目服务范围区域内有不少于100平方米场地（含100平方米）的得10分；</w:t>
            </w:r>
          </w:p>
          <w:p w:rsidR="00E43C33" w:rsidRPr="00433DE5" w:rsidRDefault="00E43C33" w:rsidP="00B612DB">
            <w:pPr>
              <w:spacing w:line="500" w:lineRule="exact"/>
              <w:ind w:firstLineChars="200" w:firstLine="480"/>
              <w:rPr>
                <w:rFonts w:ascii="仿宋_GB2312" w:eastAsia="仿宋_GB2312"/>
                <w:sz w:val="24"/>
                <w:szCs w:val="24"/>
              </w:rPr>
            </w:pPr>
            <w:r w:rsidRPr="00433DE5">
              <w:rPr>
                <w:rFonts w:ascii="仿宋_GB2312" w:eastAsia="仿宋_GB2312" w:hint="eastAsia"/>
                <w:sz w:val="24"/>
                <w:szCs w:val="24"/>
              </w:rPr>
              <w:t>在深圳市内有不少于100平方米场地（含100平方米）的得5分；</w:t>
            </w:r>
          </w:p>
          <w:p w:rsidR="00E43C33" w:rsidRPr="00433DE5" w:rsidRDefault="00E43C33" w:rsidP="00B612DB">
            <w:pPr>
              <w:spacing w:line="500" w:lineRule="exact"/>
              <w:ind w:firstLineChars="200" w:firstLine="480"/>
              <w:rPr>
                <w:rFonts w:ascii="仿宋_GB2312" w:eastAsia="仿宋_GB2312"/>
                <w:sz w:val="24"/>
                <w:szCs w:val="24"/>
              </w:rPr>
            </w:pPr>
            <w:r w:rsidRPr="00433DE5">
              <w:rPr>
                <w:rFonts w:ascii="仿宋_GB2312" w:eastAsia="仿宋_GB2312" w:hint="eastAsia"/>
                <w:sz w:val="24"/>
                <w:szCs w:val="24"/>
              </w:rPr>
              <w:t>承诺中标后在本项目服务范围区域内设立不少于100平方米场地（含100平方米）的得5分；</w:t>
            </w:r>
          </w:p>
          <w:p w:rsidR="00E43C33" w:rsidRPr="00433DE5" w:rsidRDefault="00E43C33" w:rsidP="00B612DB">
            <w:pPr>
              <w:spacing w:line="500" w:lineRule="exact"/>
              <w:ind w:firstLineChars="200" w:firstLine="480"/>
              <w:rPr>
                <w:rFonts w:ascii="仿宋_GB2312" w:eastAsia="仿宋_GB2312"/>
                <w:sz w:val="24"/>
                <w:szCs w:val="24"/>
              </w:rPr>
            </w:pPr>
            <w:r w:rsidRPr="00433DE5">
              <w:rPr>
                <w:rFonts w:ascii="仿宋_GB2312" w:eastAsia="仿宋_GB2312" w:hint="eastAsia"/>
                <w:sz w:val="24"/>
                <w:szCs w:val="24"/>
              </w:rPr>
              <w:t>承诺中标后在深圳市内设立不少于100平方米场地（含100平方米）的得2分。</w:t>
            </w:r>
          </w:p>
          <w:p w:rsidR="00E43C33" w:rsidRPr="00433DE5" w:rsidRDefault="00E43C33" w:rsidP="00B612DB">
            <w:pPr>
              <w:spacing w:line="500" w:lineRule="exact"/>
              <w:ind w:firstLineChars="200" w:firstLine="480"/>
              <w:rPr>
                <w:rFonts w:ascii="仿宋_GB2312" w:eastAsia="仿宋_GB2312"/>
                <w:sz w:val="24"/>
                <w:szCs w:val="24"/>
              </w:rPr>
            </w:pPr>
            <w:r w:rsidRPr="00433DE5">
              <w:rPr>
                <w:rFonts w:ascii="仿宋_GB2312" w:eastAsia="仿宋_GB2312" w:hint="eastAsia"/>
                <w:sz w:val="24"/>
                <w:szCs w:val="24"/>
              </w:rPr>
              <w:t xml:space="preserve"> （二）评分依据 提供租赁合同或自有产权证明或提供承诺函（格式自拟），提供扫描件或复印件加盖公章，原件备查，不提供相关证明材料不得分。</w:t>
            </w:r>
          </w:p>
        </w:tc>
      </w:tr>
    </w:tbl>
    <w:p w:rsidR="00E43C33" w:rsidRDefault="00E43C33" w:rsidP="00E43C33">
      <w:pPr>
        <w:snapToGrid w:val="0"/>
        <w:spacing w:line="360" w:lineRule="auto"/>
        <w:rPr>
          <w:rFonts w:ascii="仿宋_GB2312"/>
        </w:rPr>
      </w:pPr>
    </w:p>
    <w:p w:rsidR="00602184" w:rsidRPr="00E43C33" w:rsidRDefault="00E43C33"/>
    <w:sectPr w:rsidR="00602184" w:rsidRPr="00E43C33" w:rsidSect="00D305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C33"/>
    <w:rsid w:val="00A649E9"/>
    <w:rsid w:val="00B75520"/>
    <w:rsid w:val="00E43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C3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C3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217</Words>
  <Characters>1240</Characters>
  <Application>Microsoft Office Word</Application>
  <DocSecurity>0</DocSecurity>
  <Lines>10</Lines>
  <Paragraphs>2</Paragraphs>
  <ScaleCrop>false</ScaleCrop>
  <Company>P R C</Company>
  <LinksUpToDate>false</LinksUpToDate>
  <CharactersWithSpaces>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2021-05-11T02:02:00Z</dcterms:created>
  <dcterms:modified xsi:type="dcterms:W3CDTF">2021-05-11T02:03:00Z</dcterms:modified>
</cp:coreProperties>
</file>