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13" w:rsidRPr="00E16D8A" w:rsidRDefault="00FD2113" w:rsidP="00FD2113">
      <w:pPr>
        <w:spacing w:line="560" w:lineRule="exact"/>
        <w:rPr>
          <w:rFonts w:ascii="仿宋_GB2312" w:eastAsia="仿宋_GB2312" w:hAnsi="宋体" w:hint="eastAsia"/>
          <w:sz w:val="32"/>
          <w:szCs w:val="32"/>
        </w:rPr>
      </w:pPr>
      <w:r w:rsidRPr="00E16D8A">
        <w:rPr>
          <w:rFonts w:ascii="仿宋_GB2312" w:eastAsia="仿宋_GB2312" w:hAnsi="宋体" w:hint="eastAsia"/>
          <w:sz w:val="32"/>
          <w:szCs w:val="32"/>
        </w:rPr>
        <w:t>附件</w:t>
      </w:r>
      <w:r>
        <w:rPr>
          <w:rFonts w:ascii="仿宋_GB2312" w:eastAsia="仿宋_GB2312" w:hAnsi="宋体" w:hint="eastAsia"/>
          <w:sz w:val="32"/>
          <w:szCs w:val="32"/>
        </w:rPr>
        <w:t>2</w:t>
      </w:r>
    </w:p>
    <w:p w:rsidR="00FD2113" w:rsidRDefault="00FD2113" w:rsidP="00FD2113">
      <w:pPr>
        <w:adjustRightInd w:val="0"/>
        <w:snapToGrid w:val="0"/>
        <w:spacing w:line="360" w:lineRule="auto"/>
        <w:jc w:val="center"/>
        <w:rPr>
          <w:rFonts w:ascii="方正小标宋简体" w:eastAsia="方正小标宋简体" w:hAnsi="方正小标宋简体" w:cs="方正小标宋简体" w:hint="eastAsia"/>
          <w:bCs/>
          <w:kern w:val="0"/>
          <w:sz w:val="44"/>
          <w:szCs w:val="44"/>
          <w:lang w:bidi="ar"/>
        </w:rPr>
      </w:pPr>
      <w:bookmarkStart w:id="0" w:name="_GoBack"/>
      <w:r>
        <w:rPr>
          <w:rFonts w:ascii="方正小标宋简体" w:eastAsia="方正小标宋简体" w:hAnsi="方正小标宋简体" w:cs="方正小标宋简体" w:hint="eastAsia"/>
          <w:bCs/>
          <w:kern w:val="0"/>
          <w:sz w:val="44"/>
          <w:szCs w:val="44"/>
          <w:lang w:bidi="ar"/>
        </w:rPr>
        <w:t>评标方法</w:t>
      </w:r>
    </w:p>
    <w:bookmarkEnd w:id="0"/>
    <w:p w:rsidR="00FD2113" w:rsidRDefault="00FD2113" w:rsidP="00FD2113">
      <w:pPr>
        <w:adjustRightInd w:val="0"/>
        <w:snapToGrid w:val="0"/>
        <w:spacing w:line="280" w:lineRule="exact"/>
        <w:jc w:val="left"/>
        <w:rPr>
          <w:rFonts w:ascii="仿宋_GB2312" w:hAnsi="仿宋" w:cs="仿宋_GB2312" w:hint="eastAsia"/>
          <w:kern w:val="0"/>
          <w:sz w:val="28"/>
          <w:szCs w:val="28"/>
          <w:lang w:bidi="ar"/>
        </w:rPr>
      </w:pPr>
    </w:p>
    <w:p w:rsidR="00FD2113" w:rsidRDefault="00FD2113" w:rsidP="00FD2113">
      <w:pPr>
        <w:adjustRightInd w:val="0"/>
        <w:snapToGrid w:val="0"/>
        <w:spacing w:line="360" w:lineRule="auto"/>
        <w:jc w:val="left"/>
        <w:rPr>
          <w:rFonts w:ascii="仿宋_GB2312" w:hAnsi="仿宋" w:cs="仿宋_GB2312" w:hint="eastAsia"/>
          <w:kern w:val="0"/>
          <w:sz w:val="28"/>
          <w:szCs w:val="28"/>
          <w:lang w:bidi="ar"/>
        </w:rPr>
      </w:pPr>
      <w:r>
        <w:rPr>
          <w:rFonts w:ascii="仿宋_GB2312" w:hAnsi="仿宋" w:cs="仿宋_GB2312" w:hint="eastAsia"/>
          <w:kern w:val="0"/>
          <w:sz w:val="28"/>
          <w:szCs w:val="28"/>
          <w:lang w:bidi="ar"/>
        </w:rPr>
        <w:t>评标方法为综合评分法。</w:t>
      </w:r>
    </w:p>
    <w:p w:rsidR="00FD2113" w:rsidRDefault="00FD2113" w:rsidP="00FD2113">
      <w:pPr>
        <w:adjustRightInd w:val="0"/>
        <w:snapToGrid w:val="0"/>
        <w:spacing w:line="360" w:lineRule="auto"/>
        <w:jc w:val="left"/>
        <w:rPr>
          <w:rFonts w:ascii="仿宋_GB2312" w:hAnsi="仿宋" w:cs="仿宋_GB2312" w:hint="eastAsia"/>
          <w:kern w:val="0"/>
          <w:sz w:val="28"/>
          <w:szCs w:val="28"/>
        </w:rPr>
      </w:pPr>
      <w:r>
        <w:rPr>
          <w:rFonts w:ascii="仿宋_GB2312" w:hAnsi="仿宋" w:cs="仿宋_GB2312" w:hint="eastAsia"/>
          <w:kern w:val="0"/>
          <w:sz w:val="28"/>
          <w:szCs w:val="28"/>
          <w:lang w:bidi="ar"/>
        </w:rPr>
        <w:t>评审小组会按综合得分由高到低的顺序排出各有效投标的名次，得分最高的投标人为本项目中标人。</w:t>
      </w:r>
    </w:p>
    <w:tbl>
      <w:tblPr>
        <w:tblpPr w:leftFromText="180" w:rightFromText="180" w:vertAnchor="text" w:horzAnchor="page" w:tblpX="1065" w:tblpY="558"/>
        <w:tblOverlap w:val="neve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7"/>
        <w:gridCol w:w="555"/>
        <w:gridCol w:w="1002"/>
        <w:gridCol w:w="784"/>
        <w:gridCol w:w="761"/>
        <w:gridCol w:w="6232"/>
      </w:tblGrid>
      <w:tr w:rsidR="00FD2113" w:rsidTr="00435977">
        <w:tc>
          <w:tcPr>
            <w:tcW w:w="821" w:type="dxa"/>
            <w:gridSpan w:val="2"/>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序号</w:t>
            </w:r>
          </w:p>
        </w:tc>
        <w:tc>
          <w:tcPr>
            <w:tcW w:w="3102" w:type="dxa"/>
            <w:gridSpan w:val="4"/>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评分项</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权重</w:t>
            </w:r>
          </w:p>
        </w:tc>
      </w:tr>
      <w:tr w:rsidR="00FD2113" w:rsidTr="00435977">
        <w:trPr>
          <w:trHeight w:val="317"/>
        </w:trPr>
        <w:tc>
          <w:tcPr>
            <w:tcW w:w="821" w:type="dxa"/>
            <w:gridSpan w:val="2"/>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1</w:t>
            </w:r>
          </w:p>
        </w:tc>
        <w:tc>
          <w:tcPr>
            <w:tcW w:w="3102" w:type="dxa"/>
            <w:gridSpan w:val="4"/>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bCs/>
                <w:sz w:val="24"/>
              </w:rPr>
            </w:pPr>
            <w:r>
              <w:rPr>
                <w:rFonts w:ascii="仿宋_GB2312" w:cs="仿宋_GB2312" w:hint="eastAsia"/>
                <w:b/>
                <w:bCs/>
                <w:sz w:val="24"/>
                <w:lang w:bidi="ar"/>
              </w:rPr>
              <w:t>价格</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bCs/>
                <w:sz w:val="24"/>
              </w:rPr>
            </w:pPr>
            <w:r>
              <w:rPr>
                <w:rFonts w:ascii="仿宋_GB2312" w:cs="仿宋_GB2312" w:hint="eastAsia"/>
                <w:b/>
                <w:bCs/>
                <w:sz w:val="24"/>
                <w:lang w:bidi="ar"/>
              </w:rPr>
              <w:t>20</w:t>
            </w:r>
          </w:p>
        </w:tc>
      </w:tr>
      <w:tr w:rsidR="00FD2113" w:rsidTr="00435977">
        <w:trPr>
          <w:trHeight w:val="317"/>
        </w:trPr>
        <w:tc>
          <w:tcPr>
            <w:tcW w:w="10155" w:type="dxa"/>
            <w:gridSpan w:val="7"/>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价格分计算方法：采用低价优先法计算</w:t>
            </w:r>
            <w:r>
              <w:rPr>
                <w:rFonts w:ascii="仿宋_GB2312" w:cs="仿宋_GB2312" w:hint="eastAsia"/>
                <w:sz w:val="24"/>
                <w:lang w:bidi="ar"/>
              </w:rPr>
              <w:t>,</w:t>
            </w:r>
            <w:r>
              <w:rPr>
                <w:rFonts w:ascii="仿宋_GB2312" w:cs="仿宋_GB2312" w:hint="eastAsia"/>
                <w:sz w:val="24"/>
                <w:lang w:bidi="ar"/>
              </w:rPr>
              <w:t>即满足招标文件要求且投标价格最低的投标报价为评标基准价</w:t>
            </w:r>
            <w:r>
              <w:rPr>
                <w:rFonts w:ascii="仿宋_GB2312" w:cs="仿宋_GB2312" w:hint="eastAsia"/>
                <w:sz w:val="24"/>
                <w:lang w:bidi="ar"/>
              </w:rPr>
              <w:t>,</w:t>
            </w:r>
            <w:r>
              <w:rPr>
                <w:rFonts w:ascii="仿宋_GB2312" w:cs="仿宋_GB2312" w:hint="eastAsia"/>
                <w:sz w:val="24"/>
                <w:lang w:bidi="ar"/>
              </w:rPr>
              <w:t>其价格分为满分。其他投标人的价格</w:t>
            </w:r>
            <w:proofErr w:type="gramStart"/>
            <w:r>
              <w:rPr>
                <w:rFonts w:ascii="仿宋_GB2312" w:cs="仿宋_GB2312" w:hint="eastAsia"/>
                <w:sz w:val="24"/>
                <w:lang w:bidi="ar"/>
              </w:rPr>
              <w:t>分统一</w:t>
            </w:r>
            <w:proofErr w:type="gramEnd"/>
            <w:r>
              <w:rPr>
                <w:rFonts w:ascii="仿宋_GB2312" w:cs="仿宋_GB2312" w:hint="eastAsia"/>
                <w:sz w:val="24"/>
                <w:lang w:bidi="ar"/>
              </w:rPr>
              <w:t>按照下列公式计算：投标报价得分</w:t>
            </w:r>
            <w:r>
              <w:rPr>
                <w:rFonts w:ascii="仿宋_GB2312" w:cs="仿宋_GB2312" w:hint="eastAsia"/>
                <w:sz w:val="24"/>
                <w:lang w:bidi="ar"/>
              </w:rPr>
              <w:t>=(</w:t>
            </w:r>
            <w:r>
              <w:rPr>
                <w:rFonts w:ascii="仿宋_GB2312" w:cs="仿宋_GB2312" w:hint="eastAsia"/>
                <w:sz w:val="24"/>
                <w:lang w:bidi="ar"/>
              </w:rPr>
              <w:t>评标基准价</w:t>
            </w:r>
            <w:r>
              <w:rPr>
                <w:rFonts w:ascii="仿宋_GB2312" w:cs="仿宋_GB2312" w:hint="eastAsia"/>
                <w:sz w:val="24"/>
                <w:lang w:bidi="ar"/>
              </w:rPr>
              <w:t>/</w:t>
            </w:r>
            <w:r>
              <w:rPr>
                <w:rFonts w:ascii="仿宋_GB2312" w:cs="仿宋_GB2312" w:hint="eastAsia"/>
                <w:sz w:val="24"/>
                <w:lang w:bidi="ar"/>
              </w:rPr>
              <w:t>投标报价</w:t>
            </w:r>
            <w:r>
              <w:rPr>
                <w:rFonts w:ascii="仿宋_GB2312" w:cs="仿宋_GB2312" w:hint="eastAsia"/>
                <w:sz w:val="24"/>
                <w:lang w:bidi="ar"/>
              </w:rPr>
              <w:t>)</w:t>
            </w:r>
            <w:r>
              <w:rPr>
                <w:rFonts w:ascii="仿宋_GB2312" w:cs="仿宋_GB2312" w:hint="eastAsia"/>
                <w:sz w:val="24"/>
                <w:lang w:bidi="ar"/>
              </w:rPr>
              <w:t>×权重</w:t>
            </w:r>
          </w:p>
        </w:tc>
      </w:tr>
      <w:tr w:rsidR="00FD2113" w:rsidTr="00435977">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2</w:t>
            </w:r>
          </w:p>
        </w:tc>
        <w:tc>
          <w:tcPr>
            <w:tcW w:w="3389" w:type="dxa"/>
            <w:gridSpan w:val="5"/>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技术部分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40</w:t>
            </w:r>
          </w:p>
        </w:tc>
      </w:tr>
      <w:tr w:rsidR="00FD2113" w:rsidTr="00435977">
        <w:tc>
          <w:tcPr>
            <w:tcW w:w="534" w:type="dxa"/>
            <w:vMerge w:val="restart"/>
            <w:tcBorders>
              <w:top w:val="nil"/>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序号</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评分因素</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权重</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评分方式</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评分准则</w:t>
            </w:r>
          </w:p>
        </w:tc>
      </w:tr>
      <w:tr w:rsidR="00FD2113" w:rsidTr="00435977">
        <w:trPr>
          <w:trHeight w:val="63"/>
        </w:trPr>
        <w:tc>
          <w:tcPr>
            <w:tcW w:w="534" w:type="dxa"/>
            <w:vMerge/>
            <w:tcBorders>
              <w:top w:val="nil"/>
              <w:left w:val="single" w:sz="4" w:space="0" w:color="auto"/>
              <w:bottom w:val="single" w:sz="4" w:space="0" w:color="auto"/>
              <w:right w:val="single" w:sz="4" w:space="0" w:color="auto"/>
            </w:tcBorders>
            <w:vAlign w:val="center"/>
          </w:tcPr>
          <w:p w:rsidR="00FD2113" w:rsidRDefault="00FD2113" w:rsidP="00435977">
            <w:pPr>
              <w:widowControl/>
              <w:jc w:val="left"/>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1</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项目实施方案</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sz w:val="24"/>
              </w:rPr>
            </w:pPr>
            <w:r>
              <w:rPr>
                <w:rFonts w:ascii="仿宋_GB2312" w:cs="仿宋_GB2312" w:hint="eastAsia"/>
                <w:sz w:val="24"/>
                <w:lang w:bidi="ar"/>
              </w:rPr>
              <w:t>要求投标人拟定的项目实施方案完整详细、科学合理、目标清晰明确、有针对性的详细分析、贴切项目实际情况、可操作性强。评标委员会根据招标文件需求和投标文件响应情况进行横向对比排序，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90"/>
        </w:trPr>
        <w:tc>
          <w:tcPr>
            <w:tcW w:w="534" w:type="dxa"/>
            <w:vMerge/>
            <w:tcBorders>
              <w:top w:val="nil"/>
              <w:left w:val="single" w:sz="4" w:space="0" w:color="auto"/>
              <w:bottom w:val="single" w:sz="4" w:space="0" w:color="auto"/>
              <w:right w:val="single" w:sz="4" w:space="0" w:color="auto"/>
            </w:tcBorders>
            <w:vAlign w:val="center"/>
          </w:tcPr>
          <w:p w:rsidR="00FD2113" w:rsidRDefault="00FD2113" w:rsidP="00435977">
            <w:pPr>
              <w:widowControl/>
              <w:jc w:val="left"/>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2</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合理化建议</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要求投标人对项目实施重难点有合理、到位、深入的分析，并提出针对性强、可执行性强、系统化的合理化建议。评标委员会根据招标文件需求和投标文件响应情况进行横向对比排序，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vMerge/>
            <w:tcBorders>
              <w:top w:val="nil"/>
              <w:left w:val="single" w:sz="4" w:space="0" w:color="auto"/>
              <w:bottom w:val="single" w:sz="4" w:space="0" w:color="auto"/>
              <w:right w:val="single" w:sz="4" w:space="0" w:color="auto"/>
            </w:tcBorders>
            <w:vAlign w:val="center"/>
          </w:tcPr>
          <w:p w:rsidR="00FD2113" w:rsidRDefault="00FD2113" w:rsidP="00435977">
            <w:pPr>
              <w:widowControl/>
              <w:jc w:val="left"/>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3</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rPr>
            </w:pPr>
            <w:r>
              <w:rPr>
                <w:rFonts w:ascii="仿宋_GB2312" w:cs="仿宋_GB2312" w:hint="eastAsia"/>
                <w:sz w:val="24"/>
                <w:lang w:bidi="ar"/>
              </w:rPr>
              <w:t>质量保障措施</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rPr>
            </w:pPr>
            <w:r>
              <w:rPr>
                <w:rFonts w:ascii="仿宋_GB2312" w:cs="仿宋_GB2312" w:hint="eastAsia"/>
                <w:sz w:val="24"/>
              </w:rPr>
              <w:t>要求投标人制定系统性、针对性、符合项目需求的质量保障措施，措施内容完整、详实、合理且可操作性强。</w:t>
            </w:r>
            <w:r>
              <w:rPr>
                <w:rFonts w:ascii="仿宋_GB2312" w:cs="仿宋_GB2312" w:hint="eastAsia"/>
                <w:sz w:val="24"/>
                <w:lang w:bidi="ar"/>
              </w:rPr>
              <w:t>评标委员会根据招标文件需求和投标文件响应情况进行横向对比排序，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vMerge/>
            <w:tcBorders>
              <w:top w:val="nil"/>
              <w:left w:val="single" w:sz="4" w:space="0" w:color="auto"/>
              <w:bottom w:val="single" w:sz="4" w:space="0" w:color="auto"/>
              <w:right w:val="single" w:sz="4" w:space="0" w:color="auto"/>
            </w:tcBorders>
            <w:vAlign w:val="center"/>
          </w:tcPr>
          <w:p w:rsidR="00FD2113" w:rsidRDefault="00FD2113" w:rsidP="00435977">
            <w:pPr>
              <w:widowControl/>
              <w:jc w:val="left"/>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rPr>
            </w:pPr>
            <w:r>
              <w:rPr>
                <w:rFonts w:ascii="仿宋_GB2312" w:cs="仿宋_GB2312" w:hint="eastAsia"/>
                <w:sz w:val="24"/>
                <w:lang w:bidi="ar"/>
              </w:rPr>
              <w:t>4</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项目完成后的服务承诺</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sz w:val="24"/>
              </w:rPr>
            </w:pPr>
            <w:r>
              <w:rPr>
                <w:rFonts w:ascii="仿宋_GB2312" w:cs="仿宋_GB2312" w:hint="eastAsia"/>
                <w:sz w:val="24"/>
              </w:rPr>
              <w:t>要求投标人承诺在项目完成后提供技术指导、培训、系统维护等服务，并制定履行服务的保障措施。</w:t>
            </w:r>
            <w:r>
              <w:rPr>
                <w:rFonts w:ascii="仿宋_GB2312" w:cs="仿宋_GB2312" w:hint="eastAsia"/>
                <w:sz w:val="24"/>
                <w:lang w:bidi="ar"/>
              </w:rPr>
              <w:t>评标委员会根据招标文件需求和投标文件响应情况进行横向对比排序，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3</w:t>
            </w:r>
          </w:p>
        </w:tc>
        <w:tc>
          <w:tcPr>
            <w:tcW w:w="3389" w:type="dxa"/>
            <w:gridSpan w:val="5"/>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综合实力部分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b/>
                <w:sz w:val="24"/>
              </w:rPr>
            </w:pPr>
            <w:r>
              <w:rPr>
                <w:rFonts w:ascii="仿宋_GB2312" w:cs="仿宋_GB2312" w:hint="eastAsia"/>
                <w:b/>
                <w:sz w:val="24"/>
                <w:lang w:bidi="ar"/>
              </w:rPr>
              <w:t>40</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序号</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评分因素</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权重</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评分方式</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lang w:bidi="ar"/>
              </w:rPr>
              <w:t>评分准则</w:t>
            </w:r>
          </w:p>
        </w:tc>
      </w:tr>
      <w:tr w:rsidR="00FD2113" w:rsidTr="00435977">
        <w:trPr>
          <w:trHeight w:val="63"/>
        </w:trPr>
        <w:tc>
          <w:tcPr>
            <w:tcW w:w="534" w:type="dxa"/>
            <w:tcBorders>
              <w:top w:val="nil"/>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rPr>
                <w:rFonts w:ascii="仿宋_GB2312" w:cs="仿宋_GB2312" w:hint="eastAsia"/>
                <w:sz w:val="24"/>
                <w:lang w:bidi="ar"/>
              </w:rPr>
            </w:pPr>
            <w:r>
              <w:rPr>
                <w:rFonts w:ascii="仿宋_GB2312" w:cs="仿宋_GB2312" w:hint="eastAsia"/>
                <w:sz w:val="24"/>
                <w:lang w:bidi="ar"/>
              </w:rPr>
              <w:t>1</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拟安排项目团队成员情况</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要求投标人拟安排的团队成员总人数</w:t>
            </w:r>
            <w:r>
              <w:rPr>
                <w:rFonts w:ascii="仿宋_GB2312" w:cs="仿宋_GB2312" w:hint="eastAsia"/>
                <w:sz w:val="24"/>
                <w:lang w:bidi="ar"/>
              </w:rPr>
              <w:t>3</w:t>
            </w:r>
            <w:r>
              <w:rPr>
                <w:rFonts w:ascii="仿宋_GB2312" w:cs="仿宋_GB2312" w:hint="eastAsia"/>
                <w:sz w:val="24"/>
                <w:lang w:bidi="ar"/>
              </w:rPr>
              <w:t>人及以上，保证团队成员具有测绘执业证和同类别项目实施经验。评标委员会综合考虑拟安排团队成员人数、测绘执业</w:t>
            </w:r>
            <w:proofErr w:type="gramStart"/>
            <w:r>
              <w:rPr>
                <w:rFonts w:ascii="仿宋_GB2312" w:cs="仿宋_GB2312" w:hint="eastAsia"/>
                <w:sz w:val="24"/>
                <w:lang w:bidi="ar"/>
              </w:rPr>
              <w:t>证数量</w:t>
            </w:r>
            <w:proofErr w:type="gramEnd"/>
            <w:r>
              <w:rPr>
                <w:rFonts w:ascii="仿宋_GB2312" w:cs="仿宋_GB2312" w:hint="eastAsia"/>
                <w:sz w:val="24"/>
                <w:lang w:bidi="ar"/>
              </w:rPr>
              <w:t>及相关项目实施经验后进行横向对比排序，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2</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同类项目实施经验</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lang w:bidi="ar"/>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要求投标人提供近三年（以投标截止日期为准）实施同类别项目的证明文件。评标委员会综合考虑相关项目的数量和质量后进行横向对比排序，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3</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投标人获奖情况</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lang w:bidi="ar"/>
              </w:rPr>
            </w:pPr>
            <w:r>
              <w:rPr>
                <w:rFonts w:ascii="仿宋_GB2312" w:cs="仿宋_GB2312" w:hint="eastAsia"/>
                <w:sz w:val="24"/>
                <w:lang w:bidi="ar"/>
              </w:rPr>
              <w:t>10</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tcPr>
          <w:p w:rsidR="00FD2113" w:rsidRDefault="00FD2113" w:rsidP="00435977">
            <w:pPr>
              <w:adjustRightInd w:val="0"/>
              <w:snapToGrid w:val="0"/>
              <w:jc w:val="left"/>
              <w:rPr>
                <w:rFonts w:ascii="仿宋_GB2312" w:cs="仿宋_GB2312" w:hint="eastAsia"/>
                <w:sz w:val="24"/>
                <w:lang w:bidi="ar"/>
              </w:rPr>
            </w:pPr>
            <w:r>
              <w:rPr>
                <w:rFonts w:ascii="仿宋_GB2312" w:cs="仿宋_GB2312" w:hint="eastAsia"/>
                <w:sz w:val="24"/>
                <w:lang w:bidi="ar"/>
              </w:rPr>
              <w:t>要求投标人提供近三年（以投标截止日期为准）获奖情况的证明文件。评标委员会综合考虑奖项的级别和数量后进行横向对比排序，</w:t>
            </w:r>
            <w:proofErr w:type="gramStart"/>
            <w:r>
              <w:rPr>
                <w:rFonts w:ascii="仿宋_GB2312" w:cs="仿宋_GB2312" w:hint="eastAsia"/>
                <w:sz w:val="24"/>
                <w:lang w:bidi="ar"/>
              </w:rPr>
              <w:t>优得</w:t>
            </w:r>
            <w:r>
              <w:rPr>
                <w:rFonts w:ascii="仿宋_GB2312" w:cs="仿宋_GB2312" w:hint="eastAsia"/>
                <w:sz w:val="24"/>
                <w:lang w:bidi="ar"/>
              </w:rPr>
              <w:t>10</w:t>
            </w:r>
            <w:r>
              <w:rPr>
                <w:rFonts w:ascii="仿宋_GB2312" w:cs="仿宋_GB2312" w:hint="eastAsia"/>
                <w:sz w:val="24"/>
                <w:lang w:bidi="ar"/>
              </w:rPr>
              <w:t>分</w:t>
            </w:r>
            <w:proofErr w:type="gramEnd"/>
            <w:r>
              <w:rPr>
                <w:rFonts w:ascii="仿宋_GB2312" w:cs="仿宋_GB2312" w:hint="eastAsia"/>
                <w:sz w:val="24"/>
                <w:lang w:bidi="ar"/>
              </w:rPr>
              <w:t>，</w:t>
            </w:r>
            <w:proofErr w:type="gramStart"/>
            <w:r>
              <w:rPr>
                <w:rFonts w:ascii="仿宋_GB2312" w:cs="仿宋_GB2312" w:hint="eastAsia"/>
                <w:sz w:val="24"/>
                <w:lang w:bidi="ar"/>
              </w:rPr>
              <w:t>良得</w:t>
            </w:r>
            <w:r>
              <w:rPr>
                <w:rFonts w:ascii="仿宋_GB2312" w:cs="仿宋_GB2312" w:hint="eastAsia"/>
                <w:sz w:val="24"/>
                <w:lang w:bidi="ar"/>
              </w:rPr>
              <w:t>8</w:t>
            </w:r>
            <w:r>
              <w:rPr>
                <w:rFonts w:ascii="仿宋_GB2312" w:cs="仿宋_GB2312" w:hint="eastAsia"/>
                <w:sz w:val="24"/>
                <w:lang w:bidi="ar"/>
              </w:rPr>
              <w:t>分</w:t>
            </w:r>
            <w:proofErr w:type="gramEnd"/>
            <w:r>
              <w:rPr>
                <w:rFonts w:ascii="仿宋_GB2312" w:cs="仿宋_GB2312" w:hint="eastAsia"/>
                <w:sz w:val="24"/>
                <w:lang w:bidi="ar"/>
              </w:rPr>
              <w:t>，中得</w:t>
            </w:r>
            <w:r>
              <w:rPr>
                <w:rFonts w:ascii="仿宋_GB2312" w:cs="仿宋_GB2312" w:hint="eastAsia"/>
                <w:sz w:val="24"/>
                <w:lang w:bidi="ar"/>
              </w:rPr>
              <w:t>6</w:t>
            </w:r>
            <w:r>
              <w:rPr>
                <w:rFonts w:ascii="仿宋_GB2312" w:cs="仿宋_GB2312" w:hint="eastAsia"/>
                <w:sz w:val="24"/>
                <w:lang w:bidi="ar"/>
              </w:rPr>
              <w:t>分，其余不得分。</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lang w:bidi="ar"/>
              </w:rPr>
            </w:pPr>
            <w:r>
              <w:rPr>
                <w:rFonts w:ascii="仿宋_GB2312" w:cs="仿宋_GB2312" w:hint="eastAsia"/>
                <w:sz w:val="24"/>
                <w:lang w:bidi="ar"/>
              </w:rPr>
              <w:t>4</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lang w:bidi="ar"/>
              </w:rPr>
            </w:pPr>
            <w:r>
              <w:rPr>
                <w:rFonts w:ascii="仿宋_GB2312" w:cs="仿宋_GB2312" w:hint="eastAsia"/>
                <w:sz w:val="24"/>
                <w:lang w:bidi="ar"/>
              </w:rPr>
              <w:t>经营服务网点</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lang w:bidi="ar"/>
              </w:rPr>
            </w:pPr>
            <w:r>
              <w:rPr>
                <w:rFonts w:ascii="仿宋_GB2312" w:cs="仿宋_GB2312" w:hint="eastAsia"/>
                <w:sz w:val="24"/>
                <w:lang w:bidi="ar"/>
              </w:rPr>
              <w:t>5</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lang w:bidi="ar"/>
              </w:rPr>
            </w:pPr>
            <w:r>
              <w:rPr>
                <w:rFonts w:ascii="仿宋_GB2312" w:cs="仿宋_GB2312" w:hint="eastAsia"/>
                <w:sz w:val="24"/>
                <w:lang w:bidi="ar"/>
              </w:rPr>
              <w:t>专家打分</w:t>
            </w:r>
          </w:p>
        </w:tc>
        <w:tc>
          <w:tcPr>
            <w:tcW w:w="6232" w:type="dxa"/>
            <w:tcBorders>
              <w:top w:val="single" w:sz="4" w:space="0" w:color="auto"/>
              <w:left w:val="nil"/>
              <w:bottom w:val="single" w:sz="4" w:space="0" w:color="auto"/>
              <w:right w:val="single" w:sz="4" w:space="0" w:color="auto"/>
            </w:tcBorders>
          </w:tcPr>
          <w:p w:rsidR="00FD2113" w:rsidRDefault="00FD2113" w:rsidP="00435977">
            <w:pPr>
              <w:adjustRightInd w:val="0"/>
              <w:snapToGrid w:val="0"/>
              <w:jc w:val="left"/>
              <w:rPr>
                <w:rFonts w:ascii="仿宋_GB2312" w:cs="仿宋_GB2312"/>
                <w:sz w:val="24"/>
              </w:rPr>
            </w:pPr>
            <w:r>
              <w:rPr>
                <w:rFonts w:ascii="仿宋_GB2312" w:hint="eastAsia"/>
                <w:sz w:val="24"/>
              </w:rPr>
              <w:t>为方便项目资料的传递、沟通项目进展情况、提供后续服务等，要求投标人在深圳有经营服务网点，并提供相关证明材料。投标人于投标</w:t>
            </w:r>
            <w:r>
              <w:rPr>
                <w:rFonts w:ascii="仿宋_GB2312" w:cs="仿宋_GB2312" w:hint="eastAsia"/>
                <w:sz w:val="24"/>
                <w:lang w:bidi="ar"/>
              </w:rPr>
              <w:t>截止日有深圳经营服务网点，得</w:t>
            </w:r>
            <w:r>
              <w:rPr>
                <w:rFonts w:ascii="仿宋_GB2312" w:cs="仿宋_GB2312" w:hint="eastAsia"/>
                <w:sz w:val="24"/>
                <w:lang w:bidi="ar"/>
              </w:rPr>
              <w:t>5</w:t>
            </w:r>
            <w:r>
              <w:rPr>
                <w:rFonts w:ascii="仿宋_GB2312" w:cs="仿宋_GB2312" w:hint="eastAsia"/>
                <w:sz w:val="24"/>
                <w:lang w:bidi="ar"/>
              </w:rPr>
              <w:t>分；若没有深圳经营服务网点，但书面</w:t>
            </w:r>
            <w:r>
              <w:rPr>
                <w:rFonts w:ascii="仿宋_GB2312" w:hint="eastAsia"/>
                <w:sz w:val="24"/>
              </w:rPr>
              <w:t>承诺中标后开设深圳经营服务网点的，得</w:t>
            </w:r>
            <w:r>
              <w:rPr>
                <w:rFonts w:ascii="仿宋_GB2312" w:hint="eastAsia"/>
                <w:sz w:val="24"/>
              </w:rPr>
              <w:t>3</w:t>
            </w:r>
            <w:r>
              <w:rPr>
                <w:rFonts w:ascii="仿宋_GB2312" w:hint="eastAsia"/>
                <w:sz w:val="24"/>
              </w:rPr>
              <w:t>分。</w:t>
            </w:r>
          </w:p>
        </w:tc>
      </w:tr>
      <w:tr w:rsidR="00FD2113" w:rsidTr="00435977">
        <w:trPr>
          <w:trHeight w:val="63"/>
        </w:trPr>
        <w:tc>
          <w:tcPr>
            <w:tcW w:w="534" w:type="dxa"/>
            <w:tcBorders>
              <w:top w:val="single" w:sz="4" w:space="0" w:color="auto"/>
              <w:left w:val="single" w:sz="4" w:space="0" w:color="auto"/>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p>
        </w:tc>
        <w:tc>
          <w:tcPr>
            <w:tcW w:w="842" w:type="dxa"/>
            <w:gridSpan w:val="2"/>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rPr>
            </w:pPr>
          </w:p>
          <w:p w:rsidR="00FD2113" w:rsidRDefault="00FD2113" w:rsidP="00435977">
            <w:pPr>
              <w:adjustRightInd w:val="0"/>
              <w:snapToGrid w:val="0"/>
              <w:jc w:val="center"/>
              <w:rPr>
                <w:rFonts w:ascii="仿宋_GB2312" w:cs="仿宋_GB2312" w:hint="eastAsia"/>
                <w:sz w:val="24"/>
              </w:rPr>
            </w:pPr>
            <w:r>
              <w:rPr>
                <w:rFonts w:ascii="仿宋_GB2312" w:cs="仿宋_GB2312" w:hint="eastAsia"/>
                <w:sz w:val="24"/>
              </w:rPr>
              <w:t>5</w:t>
            </w:r>
          </w:p>
        </w:tc>
        <w:tc>
          <w:tcPr>
            <w:tcW w:w="1002"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hint="eastAsia"/>
                <w:sz w:val="24"/>
              </w:rPr>
            </w:pPr>
          </w:p>
          <w:p w:rsidR="00FD2113" w:rsidRDefault="00FD2113" w:rsidP="00435977">
            <w:pPr>
              <w:adjustRightInd w:val="0"/>
              <w:snapToGrid w:val="0"/>
              <w:jc w:val="center"/>
              <w:rPr>
                <w:rFonts w:ascii="仿宋_GB2312" w:cs="仿宋_GB2312"/>
                <w:sz w:val="24"/>
              </w:rPr>
            </w:pPr>
            <w:r>
              <w:rPr>
                <w:rFonts w:ascii="仿宋_GB2312" w:cs="仿宋_GB2312" w:hint="eastAsia"/>
                <w:sz w:val="24"/>
              </w:rPr>
              <w:t>诚信评价</w:t>
            </w:r>
          </w:p>
        </w:tc>
        <w:tc>
          <w:tcPr>
            <w:tcW w:w="784"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rPr>
              <w:t>5</w:t>
            </w:r>
          </w:p>
        </w:tc>
        <w:tc>
          <w:tcPr>
            <w:tcW w:w="761" w:type="dxa"/>
            <w:tcBorders>
              <w:top w:val="single" w:sz="4" w:space="0" w:color="auto"/>
              <w:left w:val="nil"/>
              <w:bottom w:val="single" w:sz="4" w:space="0" w:color="auto"/>
              <w:right w:val="single" w:sz="4" w:space="0" w:color="auto"/>
            </w:tcBorders>
            <w:vAlign w:val="center"/>
          </w:tcPr>
          <w:p w:rsidR="00FD2113" w:rsidRDefault="00FD2113" w:rsidP="00435977">
            <w:pPr>
              <w:adjustRightInd w:val="0"/>
              <w:snapToGrid w:val="0"/>
              <w:jc w:val="center"/>
              <w:rPr>
                <w:rFonts w:ascii="仿宋_GB2312" w:cs="仿宋_GB2312"/>
                <w:sz w:val="24"/>
              </w:rPr>
            </w:pPr>
            <w:r>
              <w:rPr>
                <w:rFonts w:ascii="仿宋_GB2312" w:cs="仿宋_GB2312" w:hint="eastAsia"/>
                <w:sz w:val="24"/>
              </w:rPr>
              <w:t>专家打分</w:t>
            </w:r>
          </w:p>
        </w:tc>
        <w:tc>
          <w:tcPr>
            <w:tcW w:w="6232" w:type="dxa"/>
            <w:tcBorders>
              <w:top w:val="single" w:sz="4" w:space="0" w:color="auto"/>
              <w:left w:val="nil"/>
              <w:bottom w:val="single" w:sz="4" w:space="0" w:color="auto"/>
              <w:right w:val="single" w:sz="4" w:space="0" w:color="auto"/>
            </w:tcBorders>
          </w:tcPr>
          <w:p w:rsidR="00FD2113" w:rsidRDefault="00FD2113" w:rsidP="00435977">
            <w:pPr>
              <w:adjustRightInd w:val="0"/>
              <w:snapToGrid w:val="0"/>
              <w:jc w:val="left"/>
              <w:rPr>
                <w:rFonts w:ascii="仿宋_GB2312" w:cs="仿宋_GB2312" w:hint="eastAsia"/>
                <w:sz w:val="24"/>
              </w:rPr>
            </w:pPr>
            <w:r>
              <w:rPr>
                <w:rFonts w:ascii="仿宋_GB2312" w:cs="仿宋_GB2312" w:hint="eastAsia"/>
                <w:sz w:val="24"/>
              </w:rPr>
              <w:t>根据《深圳市财政委员会关于加强招投标评审环节诚信管理的通知》（深</w:t>
            </w:r>
            <w:proofErr w:type="gramStart"/>
            <w:r>
              <w:rPr>
                <w:rFonts w:ascii="仿宋_GB2312" w:cs="仿宋_GB2312" w:hint="eastAsia"/>
                <w:sz w:val="24"/>
              </w:rPr>
              <w:t>财购</w:t>
            </w:r>
            <w:r>
              <w:rPr>
                <w:rFonts w:ascii="仿宋_GB2312" w:cs="仿宋_GB2312" w:hint="eastAsia"/>
                <w:sz w:val="24"/>
              </w:rPr>
              <w:t>[</w:t>
            </w:r>
            <w:proofErr w:type="gramEnd"/>
            <w:r>
              <w:rPr>
                <w:rFonts w:ascii="仿宋_GB2312" w:cs="仿宋_GB2312" w:hint="eastAsia"/>
                <w:sz w:val="24"/>
              </w:rPr>
              <w:t>2013]27</w:t>
            </w:r>
            <w:r>
              <w:rPr>
                <w:rFonts w:ascii="仿宋_GB2312" w:cs="仿宋_GB2312" w:hint="eastAsia"/>
                <w:sz w:val="24"/>
              </w:rPr>
              <w:t>号）的要求，投标人在参与政府采购活动中存在诚信相关问题且在主管部门相关处理措施实施期限内的，本项不得分，否则得满分。要求投标人提供《承诺函》加盖投标人公章。</w:t>
            </w:r>
          </w:p>
        </w:tc>
      </w:tr>
    </w:tbl>
    <w:p w:rsidR="00FD2113" w:rsidRDefault="00FD2113" w:rsidP="00FD2113">
      <w:pPr>
        <w:adjustRightInd w:val="0"/>
        <w:snapToGrid w:val="0"/>
        <w:spacing w:line="360" w:lineRule="auto"/>
      </w:pPr>
      <w:r>
        <w:rPr>
          <w:szCs w:val="21"/>
          <w:lang w:bidi="ar"/>
        </w:rPr>
        <w:t xml:space="preserve"> </w:t>
      </w:r>
    </w:p>
    <w:p w:rsidR="00FD2113" w:rsidRDefault="00FD2113" w:rsidP="00FD2113">
      <w:pPr>
        <w:autoSpaceDE w:val="0"/>
        <w:adjustRightInd w:val="0"/>
        <w:snapToGrid w:val="0"/>
        <w:spacing w:line="720" w:lineRule="exact"/>
        <w:jc w:val="center"/>
        <w:rPr>
          <w:rFonts w:ascii="仿宋_GB2312" w:eastAsia="仿宋_GB2312" w:hAnsi="黑体" w:cs="黑体" w:hint="eastAsia"/>
          <w:spacing w:val="10"/>
          <w:sz w:val="32"/>
          <w:szCs w:val="32"/>
        </w:rPr>
      </w:pPr>
    </w:p>
    <w:p w:rsidR="00602184" w:rsidRPr="00FD2113" w:rsidRDefault="00FD2113"/>
    <w:sectPr w:rsidR="00602184" w:rsidRPr="00FD2113">
      <w:pgSz w:w="11906" w:h="16838"/>
      <w:pgMar w:top="2098" w:right="1587" w:bottom="1531" w:left="1587" w:header="709" w:footer="709"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13"/>
    <w:rsid w:val="00A649E9"/>
    <w:rsid w:val="00B75520"/>
    <w:rsid w:val="00FD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Company>P R C</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2021-04-22T08:43:00Z</dcterms:created>
  <dcterms:modified xsi:type="dcterms:W3CDTF">2021-04-22T08:43:00Z</dcterms:modified>
</cp:coreProperties>
</file>