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50" w:rsidRDefault="00CC0450" w:rsidP="00CC0450">
      <w:pPr>
        <w:spacing w:line="560" w:lineRule="exact"/>
        <w:jc w:val="left"/>
        <w:rPr>
          <w:rFonts w:ascii="方正小标宋简体" w:eastAsia="方正小标宋简体" w:hAnsi="宋体" w:hint="eastAsia"/>
          <w:color w:val="000000"/>
          <w:spacing w:val="0"/>
          <w:sz w:val="44"/>
          <w:szCs w:val="44"/>
        </w:rPr>
      </w:pPr>
      <w:r>
        <w:rPr>
          <w:rFonts w:ascii="方正小标宋简体" w:eastAsia="方正小标宋简体" w:hAnsi="宋体" w:hint="eastAsia"/>
          <w:color w:val="000000"/>
          <w:spacing w:val="0"/>
          <w:sz w:val="44"/>
          <w:szCs w:val="44"/>
        </w:rPr>
        <w:t>附件</w:t>
      </w:r>
    </w:p>
    <w:p w:rsidR="00CC0450" w:rsidRPr="007B1C5A" w:rsidRDefault="00CC0450" w:rsidP="00CC0450">
      <w:pPr>
        <w:spacing w:line="560" w:lineRule="exact"/>
        <w:jc w:val="center"/>
        <w:rPr>
          <w:rFonts w:ascii="方正小标宋简体" w:eastAsia="方正小标宋简体" w:hAnsi="宋体" w:hint="eastAsia"/>
          <w:color w:val="000000"/>
          <w:spacing w:val="0"/>
          <w:sz w:val="44"/>
          <w:szCs w:val="44"/>
        </w:rPr>
      </w:pPr>
      <w:bookmarkStart w:id="0" w:name="_GoBack"/>
      <w:r w:rsidRPr="007B1C5A">
        <w:rPr>
          <w:rFonts w:ascii="方正小标宋简体" w:eastAsia="方正小标宋简体" w:hAnsi="宋体" w:hint="eastAsia"/>
          <w:color w:val="000000"/>
          <w:spacing w:val="0"/>
          <w:sz w:val="44"/>
          <w:szCs w:val="44"/>
        </w:rPr>
        <w:t>深圳市社会捐助和救灾物资储备中心</w:t>
      </w:r>
    </w:p>
    <w:p w:rsidR="00CC0450" w:rsidRPr="007B1C5A" w:rsidRDefault="00CC0450" w:rsidP="00CC0450">
      <w:pPr>
        <w:spacing w:line="560" w:lineRule="exact"/>
        <w:jc w:val="center"/>
        <w:rPr>
          <w:rFonts w:ascii="方正小标宋简体" w:eastAsia="方正小标宋简体" w:hAnsi="宋体" w:hint="eastAsia"/>
          <w:color w:val="000000"/>
          <w:spacing w:val="0"/>
          <w:sz w:val="44"/>
          <w:szCs w:val="44"/>
        </w:rPr>
      </w:pPr>
      <w:r w:rsidRPr="007B1C5A">
        <w:rPr>
          <w:rFonts w:ascii="方正小标宋简体" w:eastAsia="方正小标宋简体" w:hAnsi="宋体" w:hint="eastAsia"/>
          <w:color w:val="000000"/>
          <w:spacing w:val="0"/>
          <w:sz w:val="44"/>
          <w:szCs w:val="44"/>
        </w:rPr>
        <w:t>物流运输招标文件</w:t>
      </w:r>
    </w:p>
    <w:p w:rsidR="00CC0450" w:rsidRPr="007B1C5A" w:rsidRDefault="00CC0450" w:rsidP="00CC0450">
      <w:pPr>
        <w:spacing w:line="560" w:lineRule="exact"/>
        <w:rPr>
          <w:rFonts w:ascii="仿宋_GB2312" w:hAnsi="仿宋" w:hint="eastAsia"/>
          <w:szCs w:val="32"/>
        </w:rPr>
      </w:pPr>
    </w:p>
    <w:bookmarkEnd w:id="0"/>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因工作需要，为提高物流服务质量，搭建规范有序、高效快捷的物流采购工作平台，</w:t>
      </w:r>
      <w:proofErr w:type="gramStart"/>
      <w:r w:rsidRPr="007B1C5A">
        <w:rPr>
          <w:rFonts w:ascii="仿宋_GB2312" w:hAnsi="仿宋" w:hint="eastAsia"/>
          <w:szCs w:val="32"/>
        </w:rPr>
        <w:t>现启动</w:t>
      </w:r>
      <w:proofErr w:type="gramEnd"/>
      <w:r w:rsidRPr="007B1C5A">
        <w:rPr>
          <w:rFonts w:ascii="仿宋_GB2312" w:hAnsi="仿宋" w:hint="eastAsia"/>
          <w:szCs w:val="32"/>
        </w:rPr>
        <w:t>我中心2019年国内公路物流供应商招标工作。</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一、招标业务介绍 </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1.招标线路：市内各行政区（新区），省内河源、陆丰、汕尾等地，国内各省份（包括新疆、西藏、四川、广西等地）。 </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2.业务特点：以整车发运为主，零担发运为辅。 </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3.包装说明：一般采用纸箱包装或编织袋包装。</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4.招标业务量：中心运输量不固定，具体数据以实际发货量为准。   </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二、招标方式  </w:t>
      </w:r>
    </w:p>
    <w:p w:rsidR="00CC0450" w:rsidRPr="007B1C5A" w:rsidRDefault="00CC0450" w:rsidP="00CC0450">
      <w:pPr>
        <w:spacing w:line="560" w:lineRule="exact"/>
        <w:ind w:firstLine="630"/>
        <w:rPr>
          <w:rFonts w:ascii="仿宋_GB2312" w:hAnsi="仿宋" w:hint="eastAsia"/>
          <w:szCs w:val="32"/>
        </w:rPr>
      </w:pPr>
      <w:r w:rsidRPr="007B1C5A">
        <w:rPr>
          <w:rFonts w:ascii="仿宋_GB2312" w:hAnsi="仿宋" w:hint="eastAsia"/>
          <w:szCs w:val="32"/>
        </w:rPr>
        <w:t>1.此次招标采取综合评分法，由中心评标小组对投标人递交的材料进行综合评审，根据得分对供应商排序，择优招标１名供应商。</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2.有意向参与投标的供应商需在2019年1月29日18时前将投标文件递交至南山区</w:t>
      </w:r>
      <w:proofErr w:type="gramStart"/>
      <w:r w:rsidRPr="007B1C5A">
        <w:rPr>
          <w:rFonts w:ascii="仿宋_GB2312" w:hAnsi="仿宋" w:hint="eastAsia"/>
          <w:szCs w:val="32"/>
        </w:rPr>
        <w:t>西丽茶光路</w:t>
      </w:r>
      <w:proofErr w:type="gramEnd"/>
      <w:r w:rsidRPr="007B1C5A">
        <w:rPr>
          <w:rFonts w:ascii="仿宋_GB2312" w:hAnsi="仿宋" w:hint="eastAsia"/>
          <w:szCs w:val="32"/>
        </w:rPr>
        <w:t xml:space="preserve">市捐助中心306室，逾期恕不接受。  </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3.在填写《货物运输报价表》时，必须将所选运输方向的各吨位报价全部填写报价（完整），否则，该运输</w:t>
      </w:r>
      <w:r w:rsidRPr="007B1C5A">
        <w:rPr>
          <w:rFonts w:ascii="仿宋_GB2312" w:hAnsi="仿宋" w:hint="eastAsia"/>
          <w:szCs w:val="32"/>
        </w:rPr>
        <w:lastRenderedPageBreak/>
        <w:t xml:space="preserve">方向的报价将被视为废标。  </w:t>
      </w:r>
    </w:p>
    <w:p w:rsidR="00CC0450" w:rsidRPr="007B1C5A" w:rsidRDefault="00CC0450" w:rsidP="00CC0450">
      <w:pPr>
        <w:spacing w:line="560" w:lineRule="exact"/>
        <w:ind w:firstLine="630"/>
        <w:rPr>
          <w:rFonts w:ascii="仿宋_GB2312" w:hAnsi="仿宋" w:hint="eastAsia"/>
          <w:szCs w:val="32"/>
        </w:rPr>
      </w:pPr>
      <w:r w:rsidRPr="007B1C5A">
        <w:rPr>
          <w:rFonts w:ascii="仿宋_GB2312" w:hAnsi="仿宋" w:hint="eastAsia"/>
          <w:szCs w:val="32"/>
        </w:rPr>
        <w:t>4.评标结果将在深圳民政</w:t>
      </w:r>
      <w:proofErr w:type="gramStart"/>
      <w:r w:rsidRPr="007B1C5A">
        <w:rPr>
          <w:rFonts w:ascii="仿宋_GB2312" w:hAnsi="仿宋" w:hint="eastAsia"/>
          <w:szCs w:val="32"/>
        </w:rPr>
        <w:t>在线官网公示</w:t>
      </w:r>
      <w:proofErr w:type="gramEnd"/>
      <w:r w:rsidRPr="007B1C5A">
        <w:rPr>
          <w:rFonts w:ascii="仿宋_GB2312" w:hAnsi="仿宋" w:hint="eastAsia"/>
          <w:szCs w:val="32"/>
        </w:rPr>
        <w:t>并电话通知供应商。续后将按照规定与中标物流公司签订《运输服务合同》。</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三、招标业务要求 </w:t>
      </w:r>
    </w:p>
    <w:p w:rsidR="00CC0450" w:rsidRPr="007B1C5A" w:rsidRDefault="00CC0450" w:rsidP="00CC0450">
      <w:pPr>
        <w:tabs>
          <w:tab w:val="left" w:pos="9180"/>
        </w:tabs>
        <w:spacing w:line="560" w:lineRule="exact"/>
        <w:ind w:firstLineChars="192" w:firstLine="653"/>
        <w:rPr>
          <w:rFonts w:ascii="仿宋_GB2312" w:hAnsi="仿宋" w:hint="eastAsia"/>
          <w:szCs w:val="32"/>
        </w:rPr>
      </w:pPr>
      <w:r w:rsidRPr="007B1C5A">
        <w:rPr>
          <w:rFonts w:ascii="仿宋_GB2312" w:hAnsi="仿宋" w:hint="eastAsia"/>
          <w:szCs w:val="32"/>
        </w:rPr>
        <w:t>1.承运商必须按照要求将我中心救灾物资（扶贫物资）优先完好无损和安全无误运至目的地；由于承运商原因延误起运日期和到达日期而产生的责任均由承运商承担（严重自然灾害，交通事故、春运期间等不可抗力因素引起的时间耽误除外）；因承运商人为造成的物资短缺、损坏由承运商承担相应的赔偿责任。</w:t>
      </w:r>
    </w:p>
    <w:p w:rsidR="00CC0450" w:rsidRPr="007B1C5A" w:rsidRDefault="00CC0450" w:rsidP="00CC0450">
      <w:pPr>
        <w:spacing w:line="560" w:lineRule="exact"/>
        <w:ind w:firstLineChars="192" w:firstLine="653"/>
        <w:rPr>
          <w:rFonts w:ascii="仿宋_GB2312" w:hAnsi="仿宋" w:hint="eastAsia"/>
          <w:szCs w:val="32"/>
        </w:rPr>
      </w:pPr>
      <w:r w:rsidRPr="007B1C5A">
        <w:rPr>
          <w:rFonts w:ascii="仿宋_GB2312" w:hAnsi="仿宋" w:hint="eastAsia"/>
          <w:szCs w:val="32"/>
        </w:rPr>
        <w:t>2.承运商在装货物前后应认真清点货物件数，确认我中心交付货物的数量后，在送货单上签字认可。</w:t>
      </w:r>
    </w:p>
    <w:p w:rsidR="00CC0450" w:rsidRPr="007B1C5A" w:rsidRDefault="00CC0450" w:rsidP="00CC0450">
      <w:pPr>
        <w:spacing w:line="560" w:lineRule="exact"/>
        <w:ind w:firstLineChars="192" w:firstLine="653"/>
        <w:rPr>
          <w:rFonts w:ascii="仿宋_GB2312" w:hAnsi="仿宋" w:hint="eastAsia"/>
          <w:szCs w:val="32"/>
        </w:rPr>
      </w:pPr>
      <w:r w:rsidRPr="007B1C5A">
        <w:rPr>
          <w:rFonts w:ascii="仿宋_GB2312" w:hAnsi="仿宋" w:hint="eastAsia"/>
          <w:szCs w:val="32"/>
        </w:rPr>
        <w:t>3.装卸过程中，承运商应严格遵守我中心仓库有关规章制度，保证文明作业，确保货物安全。如因非货物本身缺陷造成货物损坏，承运商应承担相应的赔偿责任。</w:t>
      </w:r>
    </w:p>
    <w:p w:rsidR="00CC0450" w:rsidRPr="007B1C5A" w:rsidRDefault="00CC0450" w:rsidP="00CC0450">
      <w:pPr>
        <w:spacing w:line="560" w:lineRule="exact"/>
        <w:ind w:right="84" w:firstLineChars="192" w:firstLine="653"/>
        <w:rPr>
          <w:rFonts w:ascii="仿宋_GB2312" w:hAnsi="仿宋" w:hint="eastAsia"/>
          <w:szCs w:val="32"/>
        </w:rPr>
      </w:pPr>
      <w:r w:rsidRPr="007B1C5A">
        <w:rPr>
          <w:rFonts w:ascii="仿宋_GB2312" w:hAnsi="仿宋" w:hint="eastAsia"/>
          <w:szCs w:val="32"/>
        </w:rPr>
        <w:t>4.承运商必须为我中心提供及时、准确的信息反馈服务，应指定专人定期与我方有关人员核对相关单据。</w:t>
      </w:r>
    </w:p>
    <w:p w:rsidR="00CC0450" w:rsidRPr="007B1C5A" w:rsidRDefault="00CC0450" w:rsidP="00CC0450">
      <w:pPr>
        <w:spacing w:line="560" w:lineRule="exact"/>
        <w:ind w:right="-58" w:firstLineChars="200" w:firstLine="680"/>
        <w:rPr>
          <w:rFonts w:ascii="仿宋_GB2312" w:hAnsi="仿宋" w:hint="eastAsia"/>
          <w:szCs w:val="32"/>
        </w:rPr>
      </w:pPr>
      <w:r w:rsidRPr="007B1C5A">
        <w:rPr>
          <w:rFonts w:ascii="仿宋_GB2312" w:hAnsi="仿宋" w:hint="eastAsia"/>
          <w:szCs w:val="32"/>
        </w:rPr>
        <w:t>5.中心有应急救灾任务时,承运商需立即响应,确保1小时内满足我方人员、车辆等方面的需求。</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四、投标人资质要求</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1.投标单位必须是具有国家</w:t>
      </w:r>
      <w:proofErr w:type="gramStart"/>
      <w:r w:rsidRPr="007B1C5A">
        <w:rPr>
          <w:rFonts w:ascii="仿宋_GB2312" w:hAnsi="仿宋" w:hint="eastAsia"/>
          <w:szCs w:val="32"/>
        </w:rPr>
        <w:t>核发且</w:t>
      </w:r>
      <w:proofErr w:type="gramEnd"/>
      <w:r w:rsidRPr="007B1C5A">
        <w:rPr>
          <w:rFonts w:ascii="仿宋_GB2312" w:hAnsi="仿宋" w:hint="eastAsia"/>
          <w:szCs w:val="32"/>
        </w:rPr>
        <w:t>有效期一年以上（从投保之日起计算）的《营业执照》、《税务登记证》的合法组织单位，提供自有车辆的《道路运输经营许可</w:t>
      </w:r>
      <w:r w:rsidRPr="007B1C5A">
        <w:rPr>
          <w:rFonts w:ascii="仿宋_GB2312" w:hAnsi="仿宋" w:hint="eastAsia"/>
          <w:szCs w:val="32"/>
        </w:rPr>
        <w:lastRenderedPageBreak/>
        <w:t>证》等资料；且资信良好，具有三年以上的物流营运经验。</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2.投标单位应具备一定的自有车辆。</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3.投标单位应具备一定的物流运输服务从业人员，从业人员持有岗位要求的有效证件。</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4.投标单位须具备国内中、短、长途运输和</w:t>
      </w:r>
      <w:proofErr w:type="gramStart"/>
      <w:r w:rsidRPr="007B1C5A">
        <w:rPr>
          <w:rFonts w:ascii="仿宋_GB2312" w:hAnsi="仿宋" w:hint="eastAsia"/>
          <w:szCs w:val="32"/>
        </w:rPr>
        <w:t>抗运输</w:t>
      </w:r>
      <w:proofErr w:type="gramEnd"/>
      <w:r w:rsidRPr="007B1C5A">
        <w:rPr>
          <w:rFonts w:ascii="仿宋_GB2312" w:hAnsi="仿宋" w:hint="eastAsia"/>
          <w:szCs w:val="32"/>
        </w:rPr>
        <w:t>风险能力，保证运输质量，承担在运输过程中造成的损失。</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5.投标单位需具有良好的运输服务品质与服务配合态度。</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6.无经营劣迹或不良诚信行为。</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7.本次招标不接受联合体投标。</w:t>
      </w:r>
    </w:p>
    <w:p w:rsidR="00CC0450" w:rsidRPr="007B1C5A" w:rsidRDefault="00CC0450" w:rsidP="00CC0450">
      <w:pPr>
        <w:spacing w:line="560" w:lineRule="exact"/>
        <w:rPr>
          <w:rFonts w:ascii="仿宋_GB2312" w:hAnsi="仿宋" w:hint="eastAsia"/>
          <w:szCs w:val="32"/>
        </w:rPr>
      </w:pPr>
      <w:r w:rsidRPr="007B1C5A">
        <w:rPr>
          <w:rFonts w:ascii="仿宋_GB2312" w:hAnsi="仿宋" w:hint="eastAsia"/>
          <w:szCs w:val="32"/>
        </w:rPr>
        <w:t xml:space="preserve">    五、投标文件需提交的申请资料 </w:t>
      </w:r>
    </w:p>
    <w:p w:rsidR="00CC0450" w:rsidRPr="007B1C5A" w:rsidRDefault="00CC0450" w:rsidP="00CC0450">
      <w:pPr>
        <w:spacing w:line="560" w:lineRule="exact"/>
        <w:ind w:firstLine="630"/>
        <w:rPr>
          <w:rFonts w:ascii="仿宋_GB2312" w:hAnsi="仿宋" w:hint="eastAsia"/>
          <w:szCs w:val="32"/>
        </w:rPr>
      </w:pPr>
      <w:r w:rsidRPr="007B1C5A">
        <w:rPr>
          <w:rFonts w:ascii="仿宋_GB2312" w:hAnsi="仿宋" w:hint="eastAsia"/>
          <w:szCs w:val="32"/>
        </w:rPr>
        <w:t>1.供应商资质材料：包括《营业执照》、《税务登记证》、《道路运输经营许可证》（均为复印件并加盖公章）。</w:t>
      </w:r>
    </w:p>
    <w:p w:rsidR="00CC0450" w:rsidRPr="007B1C5A" w:rsidRDefault="00CC0450" w:rsidP="00CC0450">
      <w:pPr>
        <w:spacing w:line="560" w:lineRule="exact"/>
        <w:ind w:firstLine="630"/>
        <w:rPr>
          <w:rFonts w:ascii="仿宋_GB2312" w:hAnsi="仿宋" w:hint="eastAsia"/>
          <w:szCs w:val="32"/>
        </w:rPr>
      </w:pPr>
      <w:r w:rsidRPr="007B1C5A">
        <w:rPr>
          <w:rFonts w:ascii="仿宋_GB2312" w:hAnsi="仿宋" w:hint="eastAsia"/>
          <w:szCs w:val="32"/>
        </w:rPr>
        <w:t>2.法人授权书（签字并加盖公章），法人代表身份证复印件、被委托人身份证复印件。</w:t>
      </w:r>
    </w:p>
    <w:p w:rsidR="00CC0450" w:rsidRPr="007B1C5A" w:rsidRDefault="00CC0450" w:rsidP="00CC0450">
      <w:pPr>
        <w:spacing w:line="560" w:lineRule="exact"/>
        <w:ind w:firstLine="630"/>
        <w:rPr>
          <w:rFonts w:ascii="仿宋_GB2312" w:hAnsi="仿宋" w:hint="eastAsia"/>
          <w:szCs w:val="32"/>
        </w:rPr>
      </w:pPr>
      <w:r w:rsidRPr="007B1C5A">
        <w:rPr>
          <w:rFonts w:ascii="仿宋_GB2312" w:hAnsi="仿宋" w:hint="eastAsia"/>
          <w:szCs w:val="32"/>
        </w:rPr>
        <w:t>3.公司简介（包括企业的成立时间、规模、资质等级、员工人数、业务情况等）。</w:t>
      </w:r>
    </w:p>
    <w:p w:rsidR="00CC0450" w:rsidRPr="007B1C5A" w:rsidRDefault="00CC0450" w:rsidP="00CC0450">
      <w:pPr>
        <w:spacing w:line="560" w:lineRule="exact"/>
        <w:ind w:firstLine="630"/>
        <w:rPr>
          <w:rFonts w:ascii="仿宋_GB2312" w:hAnsi="仿宋" w:hint="eastAsia"/>
          <w:szCs w:val="32"/>
        </w:rPr>
      </w:pPr>
      <w:r w:rsidRPr="007B1C5A">
        <w:rPr>
          <w:rFonts w:ascii="仿宋_GB2312" w:hAnsi="仿宋" w:hint="eastAsia"/>
          <w:szCs w:val="32"/>
        </w:rPr>
        <w:t>4.货物运输报价表。</w:t>
      </w:r>
    </w:p>
    <w:p w:rsidR="00CC0450" w:rsidRPr="007B1C5A" w:rsidRDefault="00CC0450" w:rsidP="00CC0450">
      <w:pPr>
        <w:spacing w:line="560" w:lineRule="exact"/>
        <w:ind w:firstLine="630"/>
        <w:rPr>
          <w:rFonts w:ascii="仿宋_GB2312" w:hAnsi="仿宋" w:hint="eastAsia"/>
          <w:szCs w:val="32"/>
        </w:rPr>
      </w:pPr>
      <w:r w:rsidRPr="007B1C5A">
        <w:rPr>
          <w:rFonts w:ascii="仿宋_GB2312" w:hAnsi="仿宋" w:hint="eastAsia"/>
          <w:szCs w:val="32"/>
        </w:rPr>
        <w:t>5.运输能力证明材料。</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6.服务承诺（特色服务、安全性、运送速度、信息提供、货损控制等）。</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7.保险情况说明：与保险公司签订年度保险合同的</w:t>
      </w:r>
      <w:r w:rsidRPr="007B1C5A">
        <w:rPr>
          <w:rFonts w:ascii="仿宋_GB2312" w:hAnsi="仿宋" w:hint="eastAsia"/>
          <w:szCs w:val="32"/>
        </w:rPr>
        <w:lastRenderedPageBreak/>
        <w:t>须提供合同复印件，有</w:t>
      </w:r>
      <w:proofErr w:type="gramStart"/>
      <w:r w:rsidRPr="007B1C5A">
        <w:rPr>
          <w:rFonts w:ascii="仿宋_GB2312" w:hAnsi="仿宋" w:hint="eastAsia"/>
          <w:szCs w:val="32"/>
        </w:rPr>
        <w:t>单票保的</w:t>
      </w:r>
      <w:proofErr w:type="gramEnd"/>
      <w:r w:rsidRPr="007B1C5A">
        <w:rPr>
          <w:rFonts w:ascii="仿宋_GB2312" w:hAnsi="仿宋" w:hint="eastAsia"/>
          <w:szCs w:val="32"/>
        </w:rPr>
        <w:t>须提供每票保险单。</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8.投标单位联系资料：公司名称及地址、联系人、联系电话、传真、邮件地址。</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六、投标说明  </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1.投标单位应完全理解和接受招标文件中的一切规定和要求。  </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 xml:space="preserve">2.投标单位承担投标的准备、提交有关资料、证明的一切费用，我方在任何情况下，且不论招标进行或结果如何，对这些费用概不负责。  </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3.报价修改：投标截止日期前，投标单位可以以书面形式对已递交的书面文件提出补充或修改，相应部分以最后的补充和修改为准，该书面材料应由投标单位法定代表人或授权委托人签字并加盖公章。</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4.评标：我中心将按公平竞争的原则，由招标小组对投标人的实力、服务、价格、运输速度、运输质量、被投诉情况和长期合作潜力等进行评审，以确定中标者</w:t>
      </w: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5.招标方保留在签订合同前的任何时候接受或拒绝任何报价，取消招标和拒绝所有报价的权利，并且无须对受影响的招标单位承担任何责任。</w:t>
      </w:r>
    </w:p>
    <w:p w:rsidR="00CC0450" w:rsidRPr="007B1C5A" w:rsidRDefault="00CC0450" w:rsidP="00CC0450">
      <w:pPr>
        <w:spacing w:line="560" w:lineRule="exact"/>
        <w:ind w:firstLineChars="200" w:firstLine="680"/>
        <w:rPr>
          <w:rFonts w:ascii="仿宋_GB2312" w:hAnsi="仿宋" w:hint="eastAsia"/>
          <w:szCs w:val="32"/>
        </w:rPr>
      </w:pPr>
    </w:p>
    <w:p w:rsidR="00CC0450" w:rsidRPr="007B1C5A" w:rsidRDefault="00CC0450" w:rsidP="00CC0450">
      <w:pPr>
        <w:spacing w:line="560" w:lineRule="exact"/>
        <w:ind w:firstLineChars="200" w:firstLine="680"/>
        <w:rPr>
          <w:rFonts w:ascii="仿宋_GB2312" w:hAnsi="仿宋" w:hint="eastAsia"/>
          <w:szCs w:val="32"/>
        </w:rPr>
      </w:pPr>
      <w:r w:rsidRPr="007B1C5A">
        <w:rPr>
          <w:rFonts w:ascii="仿宋_GB2312" w:hAnsi="仿宋" w:hint="eastAsia"/>
          <w:szCs w:val="32"/>
        </w:rPr>
        <w:t>附件：《货物运输报价表》</w:t>
      </w:r>
    </w:p>
    <w:p w:rsidR="00CC0450" w:rsidRPr="007B1C5A" w:rsidRDefault="00CC0450" w:rsidP="00CC0450">
      <w:pPr>
        <w:spacing w:line="560" w:lineRule="exact"/>
        <w:ind w:firstLineChars="200" w:firstLine="680"/>
        <w:rPr>
          <w:rFonts w:ascii="仿宋_GB2312" w:hAnsi="仿宋" w:hint="eastAsia"/>
          <w:szCs w:val="32"/>
        </w:rPr>
      </w:pPr>
    </w:p>
    <w:p w:rsidR="00CC0450" w:rsidRPr="007B1C5A" w:rsidRDefault="00CC0450" w:rsidP="00CC0450">
      <w:pPr>
        <w:spacing w:line="560" w:lineRule="exact"/>
        <w:ind w:firstLineChars="200" w:firstLine="680"/>
        <w:jc w:val="center"/>
        <w:rPr>
          <w:rFonts w:ascii="仿宋_GB2312" w:hAnsi="仿宋" w:hint="eastAsia"/>
          <w:szCs w:val="32"/>
        </w:rPr>
      </w:pPr>
    </w:p>
    <w:p w:rsidR="00CC0450" w:rsidRDefault="00CC0450" w:rsidP="00CC0450">
      <w:pPr>
        <w:spacing w:line="560" w:lineRule="exact"/>
        <w:ind w:firstLineChars="200" w:firstLine="760"/>
        <w:jc w:val="center"/>
        <w:rPr>
          <w:rFonts w:ascii="宋体" w:eastAsia="宋体" w:hAnsi="宋体" w:hint="eastAsia"/>
          <w:sz w:val="36"/>
          <w:szCs w:val="36"/>
        </w:rPr>
      </w:pPr>
    </w:p>
    <w:p w:rsidR="00CC0450" w:rsidRDefault="00CC0450" w:rsidP="00CC0450">
      <w:pPr>
        <w:spacing w:line="560" w:lineRule="exact"/>
        <w:ind w:firstLineChars="200" w:firstLine="760"/>
        <w:jc w:val="center"/>
        <w:rPr>
          <w:rFonts w:ascii="宋体" w:eastAsia="宋体" w:hAnsi="宋体" w:hint="eastAsia"/>
          <w:sz w:val="36"/>
          <w:szCs w:val="36"/>
        </w:rPr>
      </w:pPr>
    </w:p>
    <w:p w:rsidR="00CC0450" w:rsidRPr="007B1C5A" w:rsidRDefault="00CC0450" w:rsidP="00CC0450">
      <w:pPr>
        <w:spacing w:line="560" w:lineRule="exact"/>
        <w:ind w:firstLineChars="200" w:firstLine="760"/>
        <w:jc w:val="center"/>
        <w:rPr>
          <w:rFonts w:ascii="宋体" w:eastAsia="宋体" w:hAnsi="宋体" w:hint="eastAsia"/>
          <w:sz w:val="36"/>
          <w:szCs w:val="36"/>
        </w:rPr>
      </w:pPr>
      <w:r w:rsidRPr="007B1C5A">
        <w:rPr>
          <w:rFonts w:ascii="宋体" w:eastAsia="宋体" w:hAnsi="宋体" w:hint="eastAsia"/>
          <w:sz w:val="36"/>
          <w:szCs w:val="36"/>
        </w:rPr>
        <w:t>货物运输报价表</w:t>
      </w:r>
    </w:p>
    <w:tbl>
      <w:tblPr>
        <w:tblW w:w="9380" w:type="dxa"/>
        <w:tblInd w:w="-601" w:type="dxa"/>
        <w:tblLayout w:type="fixed"/>
        <w:tblLook w:val="0000" w:firstRow="0" w:lastRow="0" w:firstColumn="0" w:lastColumn="0" w:noHBand="0" w:noVBand="0"/>
      </w:tblPr>
      <w:tblGrid>
        <w:gridCol w:w="853"/>
        <w:gridCol w:w="1700"/>
        <w:gridCol w:w="2976"/>
        <w:gridCol w:w="1189"/>
        <w:gridCol w:w="1331"/>
        <w:gridCol w:w="1331"/>
        <w:tblGridChange w:id="1">
          <w:tblGrid>
            <w:gridCol w:w="853"/>
            <w:gridCol w:w="1700"/>
            <w:gridCol w:w="2976"/>
            <w:gridCol w:w="1189"/>
            <w:gridCol w:w="1331"/>
            <w:gridCol w:w="1331"/>
          </w:tblGrid>
        </w:tblGridChange>
      </w:tblGrid>
      <w:tr w:rsidR="00CC0450" w:rsidRPr="007B1C5A" w:rsidTr="00CA2118">
        <w:trPr>
          <w:trHeight w:val="588"/>
        </w:trPr>
        <w:tc>
          <w:tcPr>
            <w:tcW w:w="853" w:type="dxa"/>
            <w:vMerge w:val="restart"/>
            <w:tcBorders>
              <w:top w:val="single" w:sz="4" w:space="0" w:color="000000"/>
              <w:left w:val="single" w:sz="4" w:space="0" w:color="000000"/>
              <w:right w:val="single" w:sz="4" w:space="0" w:color="000000"/>
            </w:tcBorders>
            <w:vAlign w:val="center"/>
          </w:tcPr>
          <w:p w:rsidR="00CC0450" w:rsidRPr="007B1C5A" w:rsidRDefault="00CC0450" w:rsidP="00CA2118">
            <w:pPr>
              <w:widowControl/>
              <w:spacing w:line="360" w:lineRule="exact"/>
              <w:jc w:val="center"/>
              <w:rPr>
                <w:rFonts w:ascii="仿宋_GB2312" w:hAnsi="仿宋" w:hint="eastAsia"/>
                <w:szCs w:val="32"/>
              </w:rPr>
            </w:pPr>
            <w:r w:rsidRPr="007B1C5A">
              <w:rPr>
                <w:rFonts w:ascii="仿宋_GB2312" w:hAnsi="仿宋" w:hint="eastAsia"/>
                <w:szCs w:val="32"/>
              </w:rPr>
              <w:t>序号</w:t>
            </w:r>
          </w:p>
        </w:tc>
        <w:tc>
          <w:tcPr>
            <w:tcW w:w="1700" w:type="dxa"/>
            <w:vMerge w:val="restart"/>
            <w:tcBorders>
              <w:top w:val="single" w:sz="4" w:space="0" w:color="000000"/>
              <w:left w:val="nil"/>
              <w:right w:val="single" w:sz="4" w:space="0" w:color="000000"/>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始发地</w:t>
            </w:r>
          </w:p>
        </w:tc>
        <w:tc>
          <w:tcPr>
            <w:tcW w:w="2976" w:type="dxa"/>
            <w:vMerge w:val="restart"/>
            <w:tcBorders>
              <w:top w:val="single" w:sz="4" w:space="0" w:color="000000"/>
              <w:left w:val="nil"/>
              <w:right w:val="single" w:sz="4" w:space="0" w:color="000000"/>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目的地</w:t>
            </w:r>
          </w:p>
        </w:tc>
        <w:tc>
          <w:tcPr>
            <w:tcW w:w="3851" w:type="dxa"/>
            <w:gridSpan w:val="3"/>
            <w:tcBorders>
              <w:top w:val="single" w:sz="4" w:space="0" w:color="000000"/>
              <w:left w:val="nil"/>
              <w:bottom w:val="single" w:sz="4" w:space="0" w:color="auto"/>
              <w:right w:val="single" w:sz="4" w:space="0" w:color="000000"/>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整车报价(元/趟）</w:t>
            </w:r>
          </w:p>
        </w:tc>
      </w:tr>
      <w:tr w:rsidR="00CC0450" w:rsidRPr="007B1C5A" w:rsidTr="00CA2118">
        <w:trPr>
          <w:trHeight w:val="512"/>
        </w:trPr>
        <w:tc>
          <w:tcPr>
            <w:tcW w:w="853" w:type="dxa"/>
            <w:vMerge/>
            <w:tcBorders>
              <w:left w:val="single" w:sz="4" w:space="0" w:color="000000"/>
              <w:bottom w:val="nil"/>
              <w:right w:val="single" w:sz="4" w:space="0" w:color="000000"/>
            </w:tcBorders>
            <w:vAlign w:val="center"/>
          </w:tcPr>
          <w:p w:rsidR="00CC0450" w:rsidRPr="007B1C5A" w:rsidRDefault="00CC0450" w:rsidP="00CA2118">
            <w:pPr>
              <w:widowControl/>
              <w:jc w:val="center"/>
              <w:rPr>
                <w:rFonts w:ascii="仿宋_GB2312" w:hAnsi="仿宋" w:hint="eastAsia"/>
                <w:szCs w:val="32"/>
              </w:rPr>
            </w:pPr>
          </w:p>
        </w:tc>
        <w:tc>
          <w:tcPr>
            <w:tcW w:w="1700" w:type="dxa"/>
            <w:vMerge/>
            <w:tcBorders>
              <w:left w:val="nil"/>
              <w:bottom w:val="nil"/>
              <w:right w:val="single" w:sz="4" w:space="0" w:color="000000"/>
            </w:tcBorders>
            <w:vAlign w:val="center"/>
          </w:tcPr>
          <w:p w:rsidR="00CC0450" w:rsidRPr="007B1C5A" w:rsidRDefault="00CC0450" w:rsidP="00CA2118">
            <w:pPr>
              <w:widowControl/>
              <w:jc w:val="center"/>
              <w:rPr>
                <w:rFonts w:ascii="仿宋_GB2312" w:hAnsi="仿宋" w:hint="eastAsia"/>
                <w:szCs w:val="32"/>
              </w:rPr>
            </w:pPr>
          </w:p>
        </w:tc>
        <w:tc>
          <w:tcPr>
            <w:tcW w:w="2976" w:type="dxa"/>
            <w:vMerge/>
            <w:tcBorders>
              <w:left w:val="nil"/>
              <w:bottom w:val="nil"/>
              <w:right w:val="single" w:sz="4" w:space="0" w:color="000000"/>
            </w:tcBorders>
            <w:vAlign w:val="center"/>
          </w:tcPr>
          <w:p w:rsidR="00CC0450" w:rsidRPr="007B1C5A" w:rsidRDefault="00CC0450" w:rsidP="00CA2118">
            <w:pPr>
              <w:widowControl/>
              <w:jc w:val="center"/>
              <w:rPr>
                <w:rFonts w:ascii="仿宋_GB2312" w:hAnsi="仿宋" w:hint="eastAsia"/>
                <w:szCs w:val="32"/>
              </w:rPr>
            </w:pPr>
          </w:p>
        </w:tc>
        <w:tc>
          <w:tcPr>
            <w:tcW w:w="1189" w:type="dxa"/>
            <w:tcBorders>
              <w:top w:val="single" w:sz="4" w:space="0" w:color="auto"/>
              <w:left w:val="nil"/>
              <w:bottom w:val="nil"/>
              <w:right w:val="single" w:sz="4" w:space="0" w:color="auto"/>
            </w:tcBorders>
            <w:vAlign w:val="center"/>
          </w:tcPr>
          <w:p w:rsidR="00CC0450" w:rsidRPr="007B1C5A" w:rsidRDefault="00CC0450" w:rsidP="00CA2118">
            <w:pPr>
              <w:jc w:val="center"/>
              <w:rPr>
                <w:rFonts w:ascii="仿宋_GB2312" w:hAnsi="仿宋" w:hint="eastAsia"/>
                <w:szCs w:val="32"/>
              </w:rPr>
            </w:pPr>
            <w:r w:rsidRPr="007B1C5A">
              <w:rPr>
                <w:rFonts w:ascii="仿宋_GB2312" w:hAnsi="仿宋" w:hint="eastAsia"/>
                <w:szCs w:val="32"/>
              </w:rPr>
              <w:t>3吨车</w:t>
            </w:r>
          </w:p>
        </w:tc>
        <w:tc>
          <w:tcPr>
            <w:tcW w:w="1331" w:type="dxa"/>
            <w:tcBorders>
              <w:top w:val="single" w:sz="4" w:space="0" w:color="auto"/>
              <w:left w:val="single" w:sz="4" w:space="0" w:color="auto"/>
              <w:bottom w:val="nil"/>
              <w:right w:val="single" w:sz="4" w:space="0" w:color="auto"/>
            </w:tcBorders>
            <w:vAlign w:val="center"/>
          </w:tcPr>
          <w:p w:rsidR="00CC0450" w:rsidRPr="007B1C5A" w:rsidRDefault="00CC0450" w:rsidP="00CA2118">
            <w:pPr>
              <w:jc w:val="center"/>
              <w:rPr>
                <w:rFonts w:ascii="仿宋_GB2312" w:hAnsi="仿宋" w:hint="eastAsia"/>
                <w:szCs w:val="32"/>
              </w:rPr>
            </w:pPr>
            <w:r w:rsidRPr="007B1C5A">
              <w:rPr>
                <w:rFonts w:ascii="仿宋_GB2312" w:hAnsi="仿宋" w:hint="eastAsia"/>
                <w:szCs w:val="32"/>
              </w:rPr>
              <w:t>5吨车</w:t>
            </w:r>
          </w:p>
        </w:tc>
        <w:tc>
          <w:tcPr>
            <w:tcW w:w="1331" w:type="dxa"/>
            <w:tcBorders>
              <w:top w:val="single" w:sz="4" w:space="0" w:color="auto"/>
              <w:left w:val="single" w:sz="4" w:space="0" w:color="auto"/>
              <w:bottom w:val="nil"/>
              <w:right w:val="single" w:sz="4" w:space="0" w:color="000000"/>
            </w:tcBorders>
            <w:vAlign w:val="center"/>
          </w:tcPr>
          <w:p w:rsidR="00CC0450" w:rsidRPr="007B1C5A" w:rsidRDefault="00CC0450" w:rsidP="00CA2118">
            <w:pPr>
              <w:jc w:val="center"/>
              <w:rPr>
                <w:rFonts w:ascii="仿宋_GB2312" w:hAnsi="仿宋" w:hint="eastAsia"/>
                <w:szCs w:val="32"/>
              </w:rPr>
            </w:pPr>
            <w:r w:rsidRPr="007B1C5A">
              <w:rPr>
                <w:rFonts w:ascii="仿宋_GB2312" w:hAnsi="仿宋" w:hint="eastAsia"/>
                <w:szCs w:val="32"/>
              </w:rPr>
              <w:t>8吨车</w:t>
            </w: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1</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南山区</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nil"/>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2</w:t>
            </w:r>
          </w:p>
        </w:tc>
        <w:tc>
          <w:tcPr>
            <w:tcW w:w="1700"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nil"/>
              <w:left w:val="nil"/>
              <w:bottom w:val="single" w:sz="4" w:space="0" w:color="auto"/>
              <w:right w:val="single" w:sz="4" w:space="0" w:color="auto"/>
            </w:tcBorders>
            <w:vAlign w:val="center"/>
          </w:tcPr>
          <w:p w:rsidR="00CC0450" w:rsidRPr="007B1C5A" w:rsidRDefault="00CC0450" w:rsidP="00CA2118">
            <w:pPr>
              <w:widowControl/>
              <w:spacing w:line="360" w:lineRule="exact"/>
              <w:jc w:val="center"/>
              <w:rPr>
                <w:rFonts w:ascii="仿宋_GB2312" w:hAnsi="仿宋" w:hint="eastAsia"/>
                <w:szCs w:val="32"/>
              </w:rPr>
            </w:pPr>
            <w:r w:rsidRPr="007B1C5A">
              <w:rPr>
                <w:rFonts w:ascii="仿宋_GB2312" w:hAnsi="仿宋" w:hint="eastAsia"/>
                <w:szCs w:val="32"/>
              </w:rPr>
              <w:t>宝安区(不含沙井，光明，公明，松岗)</w:t>
            </w:r>
          </w:p>
        </w:tc>
        <w:tc>
          <w:tcPr>
            <w:tcW w:w="1189"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nil"/>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3</w:t>
            </w:r>
          </w:p>
        </w:tc>
        <w:tc>
          <w:tcPr>
            <w:tcW w:w="1700"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福田区</w:t>
            </w:r>
          </w:p>
        </w:tc>
        <w:tc>
          <w:tcPr>
            <w:tcW w:w="1189"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nil"/>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4</w:t>
            </w:r>
          </w:p>
        </w:tc>
        <w:tc>
          <w:tcPr>
            <w:tcW w:w="1700"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罗湖区</w:t>
            </w:r>
          </w:p>
        </w:tc>
        <w:tc>
          <w:tcPr>
            <w:tcW w:w="1189"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nil"/>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5</w:t>
            </w:r>
          </w:p>
        </w:tc>
        <w:tc>
          <w:tcPr>
            <w:tcW w:w="1700"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roofErr w:type="gramStart"/>
            <w:r w:rsidRPr="007B1C5A">
              <w:rPr>
                <w:rFonts w:ascii="仿宋_GB2312" w:hAnsi="仿宋" w:hint="eastAsia"/>
                <w:szCs w:val="32"/>
              </w:rPr>
              <w:t>龙华区</w:t>
            </w:r>
            <w:proofErr w:type="gramEnd"/>
          </w:p>
        </w:tc>
        <w:tc>
          <w:tcPr>
            <w:tcW w:w="1189"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nil"/>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6</w:t>
            </w:r>
          </w:p>
        </w:tc>
        <w:tc>
          <w:tcPr>
            <w:tcW w:w="1700"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nil"/>
              <w:left w:val="nil"/>
              <w:bottom w:val="single" w:sz="4" w:space="0" w:color="auto"/>
              <w:right w:val="single" w:sz="4" w:space="0" w:color="auto"/>
            </w:tcBorders>
            <w:vAlign w:val="center"/>
          </w:tcPr>
          <w:p w:rsidR="00CC0450" w:rsidRPr="007B1C5A" w:rsidRDefault="00CC0450" w:rsidP="00CA2118">
            <w:pPr>
              <w:widowControl/>
              <w:spacing w:line="380" w:lineRule="exact"/>
              <w:jc w:val="center"/>
              <w:rPr>
                <w:rFonts w:ascii="仿宋_GB2312" w:hAnsi="仿宋" w:hint="eastAsia"/>
                <w:szCs w:val="32"/>
              </w:rPr>
            </w:pPr>
            <w:r w:rsidRPr="007B1C5A">
              <w:rPr>
                <w:rFonts w:ascii="仿宋_GB2312" w:hAnsi="仿宋" w:hint="eastAsia"/>
                <w:szCs w:val="32"/>
              </w:rPr>
              <w:t>沙井，光明，公明，松岗</w:t>
            </w:r>
          </w:p>
        </w:tc>
        <w:tc>
          <w:tcPr>
            <w:tcW w:w="1189"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nil"/>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7</w:t>
            </w:r>
          </w:p>
        </w:tc>
        <w:tc>
          <w:tcPr>
            <w:tcW w:w="1700"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龙岗区</w:t>
            </w:r>
          </w:p>
        </w:tc>
        <w:tc>
          <w:tcPr>
            <w:tcW w:w="1189"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nil"/>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8</w:t>
            </w:r>
          </w:p>
        </w:tc>
        <w:tc>
          <w:tcPr>
            <w:tcW w:w="1700"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roofErr w:type="gramStart"/>
            <w:r w:rsidRPr="007B1C5A">
              <w:rPr>
                <w:rFonts w:ascii="仿宋_GB2312" w:hAnsi="仿宋" w:hint="eastAsia"/>
                <w:szCs w:val="32"/>
              </w:rPr>
              <w:t>坪山区</w:t>
            </w:r>
            <w:proofErr w:type="gramEnd"/>
          </w:p>
        </w:tc>
        <w:tc>
          <w:tcPr>
            <w:tcW w:w="1189"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nil"/>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9</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盐田区，大鹏新区</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10</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河源</w:t>
            </w:r>
            <w:r>
              <w:rPr>
                <w:rFonts w:ascii="仿宋_GB2312" w:hAnsi="仿宋" w:hint="eastAsia"/>
                <w:szCs w:val="32"/>
              </w:rPr>
              <w:t>县城</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11</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陆丰甲东镇</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12</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汕尾深</w:t>
            </w:r>
            <w:proofErr w:type="gramStart"/>
            <w:r w:rsidRPr="007B1C5A">
              <w:rPr>
                <w:rFonts w:ascii="仿宋_GB2312" w:hAnsi="仿宋" w:hint="eastAsia"/>
                <w:szCs w:val="32"/>
              </w:rPr>
              <w:t>汕</w:t>
            </w:r>
            <w:proofErr w:type="gramEnd"/>
            <w:r w:rsidRPr="007B1C5A">
              <w:rPr>
                <w:rFonts w:ascii="仿宋_GB2312" w:hAnsi="仿宋" w:hint="eastAsia"/>
                <w:szCs w:val="32"/>
              </w:rPr>
              <w:t>合作区</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13</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新疆喀什</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14</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西藏林芝察隅</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15</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四川甘孜州</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r w:rsidR="00CC0450" w:rsidRPr="007B1C5A" w:rsidTr="00CA2118">
        <w:trPr>
          <w:trHeight w:val="519"/>
        </w:trPr>
        <w:tc>
          <w:tcPr>
            <w:tcW w:w="853" w:type="dxa"/>
            <w:tcBorders>
              <w:top w:val="single" w:sz="4" w:space="0" w:color="auto"/>
              <w:left w:val="single" w:sz="4" w:space="0" w:color="auto"/>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16</w:t>
            </w:r>
          </w:p>
        </w:tc>
        <w:tc>
          <w:tcPr>
            <w:tcW w:w="1700"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西丽仓库</w:t>
            </w:r>
          </w:p>
        </w:tc>
        <w:tc>
          <w:tcPr>
            <w:tcW w:w="2976"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r w:rsidRPr="007B1C5A">
              <w:rPr>
                <w:rFonts w:ascii="仿宋_GB2312" w:hAnsi="仿宋" w:hint="eastAsia"/>
                <w:szCs w:val="32"/>
              </w:rPr>
              <w:t>广西百色、河池</w:t>
            </w:r>
          </w:p>
        </w:tc>
        <w:tc>
          <w:tcPr>
            <w:tcW w:w="1189"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c>
          <w:tcPr>
            <w:tcW w:w="1331" w:type="dxa"/>
            <w:tcBorders>
              <w:top w:val="single" w:sz="4" w:space="0" w:color="auto"/>
              <w:left w:val="nil"/>
              <w:bottom w:val="single" w:sz="4" w:space="0" w:color="auto"/>
              <w:right w:val="single" w:sz="4" w:space="0" w:color="auto"/>
            </w:tcBorders>
            <w:vAlign w:val="center"/>
          </w:tcPr>
          <w:p w:rsidR="00CC0450" w:rsidRPr="007B1C5A" w:rsidRDefault="00CC0450" w:rsidP="00CA2118">
            <w:pPr>
              <w:widowControl/>
              <w:jc w:val="center"/>
              <w:rPr>
                <w:rFonts w:ascii="仿宋_GB2312" w:hAnsi="仿宋" w:hint="eastAsia"/>
                <w:szCs w:val="32"/>
              </w:rPr>
            </w:pPr>
          </w:p>
        </w:tc>
      </w:tr>
    </w:tbl>
    <w:p w:rsidR="00CC0450" w:rsidRPr="007B1C5A" w:rsidRDefault="00CC0450" w:rsidP="00CC0450">
      <w:pPr>
        <w:snapToGrid w:val="0"/>
        <w:spacing w:line="400" w:lineRule="exact"/>
        <w:ind w:left="425"/>
        <w:rPr>
          <w:rFonts w:ascii="仿宋_GB2312" w:hAnsi="仿宋" w:hint="eastAsia"/>
          <w:szCs w:val="32"/>
        </w:rPr>
      </w:pPr>
      <w:r w:rsidRPr="007B1C5A">
        <w:rPr>
          <w:rFonts w:ascii="仿宋_GB2312" w:hAnsi="仿宋" w:hint="eastAsia"/>
          <w:szCs w:val="32"/>
        </w:rPr>
        <w:t>注：此报价含装卸费用。</w:t>
      </w:r>
    </w:p>
    <w:p w:rsidR="00CC0450" w:rsidRPr="007B1C5A" w:rsidRDefault="00CC0450" w:rsidP="00CC0450">
      <w:pPr>
        <w:snapToGrid w:val="0"/>
        <w:spacing w:line="400" w:lineRule="exact"/>
        <w:ind w:left="425"/>
        <w:rPr>
          <w:rFonts w:ascii="仿宋_GB2312" w:hAnsi="仿宋"/>
          <w:szCs w:val="32"/>
        </w:rPr>
      </w:pPr>
      <w:r w:rsidRPr="007B1C5A">
        <w:rPr>
          <w:rFonts w:ascii="仿宋_GB2312" w:hAnsi="仿宋" w:hint="eastAsia"/>
          <w:szCs w:val="32"/>
        </w:rPr>
        <w:t>另请参照上表对市外线路报价（按公里数），报价含装</w:t>
      </w:r>
      <w:r w:rsidRPr="007B1C5A">
        <w:rPr>
          <w:rFonts w:ascii="仿宋_GB2312" w:hAnsi="仿宋" w:hint="eastAsia"/>
          <w:szCs w:val="32"/>
        </w:rPr>
        <w:lastRenderedPageBreak/>
        <w:t>卸费用。</w:t>
      </w:r>
    </w:p>
    <w:p w:rsidR="00CC0450" w:rsidRPr="00C2116A" w:rsidRDefault="00CC0450" w:rsidP="00CC0450"/>
    <w:p w:rsidR="004F0E53" w:rsidRDefault="004F0E53"/>
    <w:sectPr w:rsidR="004F0E53" w:rsidSect="00C2116A">
      <w:headerReference w:type="default" r:id="rId5"/>
      <w:footerReference w:type="even" r:id="rId6"/>
      <w:footerReference w:type="default" r:id="rId7"/>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5A" w:rsidRDefault="00CC0450" w:rsidP="00D331C8">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7B1C5A" w:rsidRDefault="00CC0450" w:rsidP="00C2116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5A" w:rsidRPr="00D331C8" w:rsidRDefault="00CC0450" w:rsidP="00D331C8">
    <w:pPr>
      <w:pStyle w:val="a4"/>
      <w:framePr w:wrap="around" w:vAnchor="text" w:hAnchor="margin" w:xAlign="outside" w:y="1"/>
      <w:rPr>
        <w:rStyle w:val="a5"/>
        <w:rFonts w:ascii="宋体" w:eastAsia="宋体" w:hAnsi="宋体"/>
        <w:sz w:val="28"/>
      </w:rPr>
    </w:pPr>
    <w:r w:rsidRPr="00D331C8">
      <w:rPr>
        <w:rStyle w:val="a5"/>
        <w:rFonts w:ascii="宋体" w:eastAsia="宋体" w:hAnsi="宋体"/>
        <w:sz w:val="28"/>
      </w:rPr>
      <w:fldChar w:fldCharType="begin"/>
    </w:r>
    <w:r w:rsidRPr="00D331C8">
      <w:rPr>
        <w:rStyle w:val="a5"/>
        <w:rFonts w:ascii="宋体" w:eastAsia="宋体" w:hAnsi="宋体"/>
        <w:sz w:val="28"/>
      </w:rPr>
      <w:instrText xml:space="preserve">PAGE  </w:instrText>
    </w:r>
    <w:r w:rsidRPr="00D331C8">
      <w:rPr>
        <w:rStyle w:val="a5"/>
        <w:rFonts w:ascii="宋体" w:eastAsia="宋体" w:hAnsi="宋体"/>
        <w:sz w:val="28"/>
      </w:rPr>
      <w:fldChar w:fldCharType="separate"/>
    </w:r>
    <w:r>
      <w:rPr>
        <w:rStyle w:val="a5"/>
        <w:rFonts w:ascii="宋体" w:eastAsia="宋体" w:hAnsi="宋体"/>
        <w:noProof/>
        <w:sz w:val="28"/>
      </w:rPr>
      <w:t>- 1 -</w:t>
    </w:r>
    <w:r w:rsidRPr="00D331C8">
      <w:rPr>
        <w:rStyle w:val="a5"/>
        <w:rFonts w:ascii="宋体" w:eastAsia="宋体" w:hAnsi="宋体"/>
        <w:sz w:val="28"/>
      </w:rPr>
      <w:fldChar w:fldCharType="end"/>
    </w:r>
  </w:p>
  <w:p w:rsidR="007B1C5A" w:rsidRPr="00D331C8" w:rsidRDefault="00CC0450" w:rsidP="00C2116A">
    <w:pPr>
      <w:pStyle w:val="a4"/>
      <w:ind w:right="360" w:firstLine="360"/>
      <w:rPr>
        <w:rFonts w:ascii="宋体" w:eastAsia="宋体" w:hAnsi="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5A" w:rsidRDefault="00CC0450" w:rsidP="00C2116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50"/>
    <w:rsid w:val="004F0E53"/>
    <w:rsid w:val="00CC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50"/>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450"/>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CC0450"/>
    <w:pPr>
      <w:tabs>
        <w:tab w:val="center" w:pos="4153"/>
        <w:tab w:val="right" w:pos="8306"/>
      </w:tabs>
      <w:snapToGrid w:val="0"/>
      <w:jc w:val="left"/>
    </w:pPr>
    <w:rPr>
      <w:sz w:val="18"/>
      <w:szCs w:val="18"/>
    </w:rPr>
  </w:style>
  <w:style w:type="character" w:customStyle="1" w:styleId="Char0">
    <w:name w:val="页脚 Char"/>
    <w:basedOn w:val="a0"/>
    <w:link w:val="a4"/>
    <w:uiPriority w:val="99"/>
    <w:rsid w:val="00CC0450"/>
    <w:rPr>
      <w:rFonts w:ascii="Times New Roman" w:eastAsia="仿宋_GB2312" w:hAnsi="Times New Roman" w:cs="Times New Roman"/>
      <w:spacing w:val="10"/>
      <w:sz w:val="18"/>
      <w:szCs w:val="18"/>
    </w:rPr>
  </w:style>
  <w:style w:type="character" w:styleId="a5">
    <w:name w:val="page number"/>
    <w:uiPriority w:val="99"/>
    <w:semiHidden/>
    <w:unhideWhenUsed/>
    <w:rsid w:val="00CC0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50"/>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450"/>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CC0450"/>
    <w:pPr>
      <w:tabs>
        <w:tab w:val="center" w:pos="4153"/>
        <w:tab w:val="right" w:pos="8306"/>
      </w:tabs>
      <w:snapToGrid w:val="0"/>
      <w:jc w:val="left"/>
    </w:pPr>
    <w:rPr>
      <w:sz w:val="18"/>
      <w:szCs w:val="18"/>
    </w:rPr>
  </w:style>
  <w:style w:type="character" w:customStyle="1" w:styleId="Char0">
    <w:name w:val="页脚 Char"/>
    <w:basedOn w:val="a0"/>
    <w:link w:val="a4"/>
    <w:uiPriority w:val="99"/>
    <w:rsid w:val="00CC0450"/>
    <w:rPr>
      <w:rFonts w:ascii="Times New Roman" w:eastAsia="仿宋_GB2312" w:hAnsi="Times New Roman" w:cs="Times New Roman"/>
      <w:spacing w:val="10"/>
      <w:sz w:val="18"/>
      <w:szCs w:val="18"/>
    </w:rPr>
  </w:style>
  <w:style w:type="character" w:styleId="a5">
    <w:name w:val="page number"/>
    <w:uiPriority w:val="99"/>
    <w:semiHidden/>
    <w:unhideWhenUsed/>
    <w:rsid w:val="00CC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320</Words>
  <Characters>1826</Characters>
  <Application>Microsoft Office Word</Application>
  <DocSecurity>0</DocSecurity>
  <Lines>15</Lines>
  <Paragraphs>4</Paragraphs>
  <ScaleCrop>false</ScaleCrop>
  <Company>Chinese ORG</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2019-01-22T07:42:00Z</dcterms:created>
  <dcterms:modified xsi:type="dcterms:W3CDTF">2019-01-22T07:42:00Z</dcterms:modified>
</cp:coreProperties>
</file>