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0"/>
      </w:tblGrid>
      <w:tr w:rsidR="00B4751E" w:rsidRPr="00B4751E" w:rsidTr="00B4751E">
        <w:trPr>
          <w:tblCellSpacing w:w="0" w:type="dxa"/>
        </w:trPr>
        <w:tc>
          <w:tcPr>
            <w:tcW w:w="10125" w:type="dxa"/>
            <w:hideMark/>
          </w:tcPr>
          <w:tbl>
            <w:tblPr>
              <w:tblW w:w="10110" w:type="dxa"/>
              <w:tblCellSpacing w:w="0" w:type="dxa"/>
              <w:tblBorders>
                <w:right w:val="single" w:sz="6" w:space="0" w:color="CACAC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0"/>
            </w:tblGrid>
            <w:tr w:rsidR="00B4751E" w:rsidRPr="00B4751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4751E" w:rsidRPr="00B4751E" w:rsidRDefault="00B4751E" w:rsidP="00B4751E">
                  <w:pPr>
                    <w:widowControl/>
                    <w:spacing w:line="480" w:lineRule="auto"/>
                    <w:jc w:val="left"/>
                    <w:rPr>
                      <w:rFonts w:ascii="宋体" w:hAnsi="宋体" w:hint="eastAsia"/>
                      <w:color w:val="333333"/>
                      <w:kern w:val="0"/>
                      <w:sz w:val="21"/>
                      <w:szCs w:val="21"/>
                    </w:rPr>
                  </w:pPr>
                </w:p>
                <w:tbl>
                  <w:tblPr>
                    <w:tblW w:w="97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B4751E" w:rsidRPr="00B4751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751E" w:rsidRPr="00B4751E" w:rsidRDefault="00B4751E" w:rsidP="00B4751E">
                        <w:pPr>
                          <w:widowControl/>
                          <w:spacing w:line="432" w:lineRule="auto"/>
                          <w:rPr>
                            <w:rFonts w:ascii="宋体" w:hAnsi="宋体" w:hint="eastAsia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B4751E">
                          <w:rPr>
                            <w:rFonts w:ascii="宋体" w:hAnsi="宋体" w:hint="eastAsia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</w:rPr>
                          <w:t>附件</w:t>
                        </w:r>
                      </w:p>
                      <w:p w:rsidR="00B4751E" w:rsidRPr="00B4751E" w:rsidRDefault="00B4751E" w:rsidP="00B4751E">
                        <w:pPr>
                          <w:widowControl/>
                          <w:spacing w:line="432" w:lineRule="auto"/>
                          <w:rPr>
                            <w:rFonts w:ascii="宋体" w:hAnsi="宋体" w:hint="eastAsia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</w:p>
                      <w:p w:rsidR="00B4751E" w:rsidRPr="00B4751E" w:rsidRDefault="00B4751E" w:rsidP="00B4751E">
                        <w:pPr>
                          <w:widowControl/>
                          <w:spacing w:line="432" w:lineRule="auto"/>
                          <w:jc w:val="center"/>
                          <w:rPr>
                            <w:rFonts w:ascii="宋体" w:hAnsi="宋体" w:hint="eastAsia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B4751E">
                          <w:rPr>
                            <w:rFonts w:ascii="宋体" w:hAnsi="宋体" w:hint="eastAsia"/>
                            <w:b/>
                            <w:bCs/>
                            <w:color w:val="333333"/>
                            <w:kern w:val="0"/>
                            <w:sz w:val="36"/>
                            <w:szCs w:val="36"/>
                          </w:rPr>
                          <w:t>重点任务分工及进度安排表</w:t>
                        </w:r>
                      </w:p>
                      <w:bookmarkEnd w:id="0"/>
                      <w:p w:rsidR="00B4751E" w:rsidRPr="00B4751E" w:rsidRDefault="00B4751E" w:rsidP="00B4751E">
                        <w:pPr>
                          <w:widowControl/>
                          <w:spacing w:line="432" w:lineRule="auto"/>
                          <w:jc w:val="center"/>
                          <w:rPr>
                            <w:rFonts w:ascii="宋体" w:hAnsi="宋体" w:hint="eastAsia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9072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8"/>
                          <w:gridCol w:w="3816"/>
                          <w:gridCol w:w="2269"/>
                          <w:gridCol w:w="2269"/>
                        </w:tblGrid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b/>
                                  <w:bCs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b/>
                                  <w:bCs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工作任务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b/>
                                  <w:bCs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负责部门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b/>
                                  <w:bCs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时间进度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鼓励境外投资者设立非营利性养老机构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民政部、公安部、国家发展改革委、商务部等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全面清理、取消申办养老机构的不合理前置审批事项，优化审批程序，简化审批流程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根据消防法和有关规定，制定既保障安全、又方便合理的养老机构设立和管理配套办法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民政部、公安部、住房城乡建设部等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2017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完善价格形成机制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国家发展改革委、民政部等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加快公办养老机构改革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民政部、各省级人民政府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加强行业信用建设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民政部、国家发展改革委、人民银行、工商总局等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2017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提高老年人生活便捷化水平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住房城乡建设部、民政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部、国家发展改革委等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8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推进“互联网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+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”养老服务创新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工业和信息化部、科技部、民政部、国家卫生计生委、国家发展改革委等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探索建立长期护理保险制度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人力资源社会保障部、国家卫生计生委、财政部、民政部、国家发展改革委、保监会等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制定养老服务相关规划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民政部、国家发展改革委等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完善土地支持政策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国土资源部、住房城乡建设部、国家发展改革委、财政部、民政部等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完善职业技能等级与养老服务人员薪酬待遇挂钩机制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人力资源社会保障部、民政部等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探索养老服务机构其他资产抵押贷款的可行模式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人民银行、民政部等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加强服务监管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民政部、人民银行、银监会、国土资源部、住房城乡建设部、公安部、全国老龄办等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lastRenderedPageBreak/>
                                <w:t>15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完善养老服务标准体系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民政部、质检总局等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落实养老机构综合评估和报告制度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持续实施</w:t>
                              </w:r>
                            </w:p>
                          </w:tc>
                        </w:tr>
                        <w:tr w:rsidR="00B4751E" w:rsidRPr="00B4751E">
                          <w:trPr>
                            <w:jc w:val="center"/>
                          </w:trPr>
                          <w:tc>
                            <w:tcPr>
                              <w:tcW w:w="718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816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政府运营的养老机构实行老年人入住评估制度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民政部等</w:t>
                              </w:r>
                            </w:p>
                          </w:tc>
                          <w:tc>
                            <w:tcPr>
                              <w:tcW w:w="2269" w:type="dxa"/>
                              <w:tcBorders>
                                <w:top w:val="nil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B4751E" w:rsidRPr="00B4751E" w:rsidRDefault="00B4751E" w:rsidP="00B4751E">
                              <w:pPr>
                                <w:widowControl/>
                                <w:spacing w:line="480" w:lineRule="auto"/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1"/>
                                  <w:szCs w:val="21"/>
                                </w:rPr>
                              </w:pP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2016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B4751E">
                                <w:rPr>
                                  <w:rFonts w:ascii="Times New Roman" w:hAnsi="Times New Roman" w:cs="Times New Roman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12</w:t>
                              </w:r>
                              <w:r w:rsidRPr="00B4751E">
                                <w:rPr>
                                  <w:rFonts w:ascii="宋体" w:hAnsi="宋体" w:cs="Times New Roman" w:hint="eastAsia"/>
                                  <w:color w:val="333333"/>
                                  <w:kern w:val="0"/>
                                  <w:sz w:val="20"/>
                                  <w:szCs w:val="20"/>
                                </w:rPr>
                                <w:t>月底前完成</w:t>
                              </w:r>
                            </w:p>
                          </w:tc>
                        </w:tr>
                      </w:tbl>
                      <w:p w:rsidR="00B4751E" w:rsidRPr="00B4751E" w:rsidRDefault="00B4751E" w:rsidP="00B4751E">
                        <w:pPr>
                          <w:widowControl/>
                          <w:spacing w:line="432" w:lineRule="auto"/>
                          <w:jc w:val="center"/>
                          <w:rPr>
                            <w:rFonts w:ascii="宋体" w:hAnsi="宋体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4751E" w:rsidRPr="00B4751E" w:rsidRDefault="00B4751E" w:rsidP="00B4751E">
                  <w:pPr>
                    <w:widowControl/>
                    <w:spacing w:line="480" w:lineRule="auto"/>
                    <w:jc w:val="left"/>
                    <w:rPr>
                      <w:rFonts w:ascii="宋体" w:hAnsi="宋体"/>
                      <w:color w:val="333333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B4751E" w:rsidRPr="00B4751E" w:rsidRDefault="00B4751E" w:rsidP="00B4751E">
            <w:pPr>
              <w:widowControl/>
              <w:spacing w:line="480" w:lineRule="auto"/>
              <w:jc w:val="left"/>
              <w:rPr>
                <w:rFonts w:ascii="宋体" w:hAnsi="宋体"/>
                <w:color w:val="333333"/>
                <w:kern w:val="0"/>
                <w:sz w:val="21"/>
                <w:szCs w:val="21"/>
              </w:rPr>
            </w:pPr>
          </w:p>
        </w:tc>
      </w:tr>
    </w:tbl>
    <w:p w:rsidR="00F85B6D" w:rsidRPr="00B4751E" w:rsidRDefault="00F85B6D" w:rsidP="00B4751E"/>
    <w:sectPr w:rsidR="00F85B6D" w:rsidRPr="00B4751E" w:rsidSect="001C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AD" w:rsidRDefault="001371AD" w:rsidP="00FF356B">
      <w:pPr>
        <w:rPr>
          <w:rFonts w:hint="eastAsia"/>
        </w:rPr>
      </w:pPr>
      <w:r>
        <w:separator/>
      </w:r>
    </w:p>
  </w:endnote>
  <w:endnote w:type="continuationSeparator" w:id="0">
    <w:p w:rsidR="001371AD" w:rsidRDefault="001371AD" w:rsidP="00FF35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AD" w:rsidRDefault="001371AD" w:rsidP="00FF356B">
      <w:pPr>
        <w:rPr>
          <w:rFonts w:hint="eastAsia"/>
        </w:rPr>
      </w:pPr>
      <w:r>
        <w:separator/>
      </w:r>
    </w:p>
  </w:footnote>
  <w:footnote w:type="continuationSeparator" w:id="0">
    <w:p w:rsidR="001371AD" w:rsidRDefault="001371AD" w:rsidP="00FF35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6D"/>
    <w:rsid w:val="00091C61"/>
    <w:rsid w:val="000A0D64"/>
    <w:rsid w:val="001249C1"/>
    <w:rsid w:val="001371AD"/>
    <w:rsid w:val="001417E9"/>
    <w:rsid w:val="001830A0"/>
    <w:rsid w:val="001C34A5"/>
    <w:rsid w:val="002240C7"/>
    <w:rsid w:val="002B7EE3"/>
    <w:rsid w:val="0032721B"/>
    <w:rsid w:val="00327D96"/>
    <w:rsid w:val="003A7BEB"/>
    <w:rsid w:val="004512E4"/>
    <w:rsid w:val="005707D5"/>
    <w:rsid w:val="005A5271"/>
    <w:rsid w:val="005E60BE"/>
    <w:rsid w:val="005F496B"/>
    <w:rsid w:val="0066274A"/>
    <w:rsid w:val="006846B5"/>
    <w:rsid w:val="007D3A82"/>
    <w:rsid w:val="007E6862"/>
    <w:rsid w:val="00812C15"/>
    <w:rsid w:val="008E774E"/>
    <w:rsid w:val="00990541"/>
    <w:rsid w:val="00A2728B"/>
    <w:rsid w:val="00A95170"/>
    <w:rsid w:val="00AA5D53"/>
    <w:rsid w:val="00AC7C4E"/>
    <w:rsid w:val="00B07D3B"/>
    <w:rsid w:val="00B4751E"/>
    <w:rsid w:val="00B90FCA"/>
    <w:rsid w:val="00BB30D1"/>
    <w:rsid w:val="00D61743"/>
    <w:rsid w:val="00D6759B"/>
    <w:rsid w:val="00DA7881"/>
    <w:rsid w:val="00DB3382"/>
    <w:rsid w:val="00DC1CF2"/>
    <w:rsid w:val="00E05662"/>
    <w:rsid w:val="00EB3746"/>
    <w:rsid w:val="00F778A7"/>
    <w:rsid w:val="00F85B6D"/>
    <w:rsid w:val="00FC14EA"/>
    <w:rsid w:val="00FF356B"/>
    <w:rsid w:val="00FF35E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D"/>
    <w:pPr>
      <w:widowControl w:val="0"/>
      <w:jc w:val="both"/>
    </w:pPr>
    <w:rPr>
      <w:rFonts w:ascii="仿宋_GB2312" w:eastAsia="宋体" w:hAnsi="仿宋_GB2312" w:cs="宋体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F85B6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5B6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5B6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F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356B"/>
    <w:rPr>
      <w:rFonts w:ascii="仿宋_GB2312" w:eastAsia="宋体" w:hAnsi="仿宋_GB2312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356B"/>
    <w:rPr>
      <w:rFonts w:ascii="仿宋_GB2312" w:eastAsia="宋体" w:hAnsi="仿宋_GB2312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6D"/>
    <w:pPr>
      <w:widowControl w:val="0"/>
      <w:jc w:val="both"/>
    </w:pPr>
    <w:rPr>
      <w:rFonts w:ascii="仿宋_GB2312" w:eastAsia="宋体" w:hAnsi="仿宋_GB2312" w:cs="宋体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F85B6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5B6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5B6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F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356B"/>
    <w:rPr>
      <w:rFonts w:ascii="仿宋_GB2312" w:eastAsia="宋体" w:hAnsi="仿宋_GB2312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356B"/>
    <w:rPr>
      <w:rFonts w:ascii="仿宋_GB2312" w:eastAsia="宋体" w:hAnsi="仿宋_GB2312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0795">
              <w:marLeft w:val="0"/>
              <w:marRight w:val="0"/>
              <w:marTop w:val="100"/>
              <w:marBottom w:val="100"/>
              <w:divBdr>
                <w:top w:val="single" w:sz="6" w:space="15" w:color="DDDDDD"/>
                <w:left w:val="single" w:sz="6" w:space="0" w:color="DDDDDD"/>
                <w:bottom w:val="single" w:sz="6" w:space="15" w:color="DDDDDD"/>
                <w:right w:val="single" w:sz="6" w:space="0" w:color="DDDDDD"/>
              </w:divBdr>
            </w:div>
          </w:divsChild>
        </w:div>
      </w:divsChild>
    </w:div>
    <w:div w:id="931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>SkyUN.Org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常迪</dc:creator>
  <cp:lastModifiedBy>马恒珠</cp:lastModifiedBy>
  <cp:revision>2</cp:revision>
  <dcterms:created xsi:type="dcterms:W3CDTF">2017-12-11T03:57:00Z</dcterms:created>
  <dcterms:modified xsi:type="dcterms:W3CDTF">2017-12-11T03:57:00Z</dcterms:modified>
</cp:coreProperties>
</file>