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1B" w:rsidRDefault="00342F1B" w:rsidP="00342F1B">
      <w:pPr>
        <w:widowControl/>
        <w:jc w:val="left"/>
        <w:rPr>
          <w:rFonts w:ascii="黑体" w:eastAsia="黑体" w:hAnsi="黑体"/>
          <w:sz w:val="32"/>
          <w:szCs w:val="32"/>
        </w:rPr>
      </w:pPr>
      <w:r>
        <w:rPr>
          <w:rFonts w:ascii="黑体" w:eastAsia="黑体" w:hAnsi="黑体" w:hint="eastAsia"/>
          <w:sz w:val="32"/>
          <w:szCs w:val="32"/>
        </w:rPr>
        <w:t>附件1</w:t>
      </w:r>
    </w:p>
    <w:p w:rsidR="00342F1B" w:rsidRDefault="00342F1B" w:rsidP="00342F1B">
      <w:pPr>
        <w:spacing w:line="580" w:lineRule="exact"/>
        <w:rPr>
          <w:rFonts w:ascii="黑体" w:eastAsia="黑体" w:hAnsi="黑体" w:hint="eastAsia"/>
          <w:sz w:val="32"/>
          <w:szCs w:val="32"/>
        </w:rPr>
      </w:pPr>
      <w:r>
        <w:rPr>
          <w:rFonts w:ascii="黑体" w:eastAsia="黑体" w:hAnsi="黑体" w:hint="eastAsia"/>
          <w:sz w:val="32"/>
          <w:szCs w:val="32"/>
        </w:rPr>
        <w:t xml:space="preserve"> </w:t>
      </w:r>
    </w:p>
    <w:p w:rsidR="00342F1B" w:rsidRDefault="00342F1B" w:rsidP="00342F1B">
      <w:pPr>
        <w:spacing w:line="580" w:lineRule="exact"/>
        <w:jc w:val="center"/>
        <w:rPr>
          <w:rFonts w:ascii="方正小标宋简体" w:eastAsia="方正小标宋简体" w:hAnsi="Times New Roman" w:hint="eastAsia"/>
          <w:sz w:val="44"/>
          <w:szCs w:val="44"/>
        </w:rPr>
      </w:pPr>
      <w:bookmarkStart w:id="0" w:name="_GoBack"/>
      <w:r>
        <w:rPr>
          <w:rFonts w:ascii="方正小标宋简体" w:eastAsia="方正小标宋简体" w:hint="eastAsia"/>
          <w:sz w:val="44"/>
          <w:szCs w:val="44"/>
        </w:rPr>
        <w:t>评分表</w:t>
      </w:r>
    </w:p>
    <w:bookmarkEnd w:id="0"/>
    <w:p w:rsidR="00342F1B" w:rsidRDefault="00342F1B" w:rsidP="00342F1B">
      <w:pPr>
        <w:spacing w:line="580" w:lineRule="exact"/>
        <w:jc w:val="center"/>
        <w:rPr>
          <w:rFonts w:ascii="仿宋_GB2312" w:eastAsia="仿宋_GB2312" w:hint="eastAsia"/>
          <w:b/>
          <w:bCs/>
          <w:sz w:val="32"/>
          <w:szCs w:val="32"/>
        </w:rPr>
      </w:pPr>
      <w:r>
        <w:rPr>
          <w:rFonts w:ascii="仿宋_GB2312" w:eastAsia="仿宋_GB2312" w:hint="eastAsia"/>
          <w:b/>
          <w:bCs/>
          <w:sz w:val="32"/>
          <w:szCs w:val="32"/>
        </w:rPr>
        <w:t xml:space="preserve"> </w:t>
      </w:r>
    </w:p>
    <w:tbl>
      <w:tblPr>
        <w:tblW w:w="8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56"/>
        <w:gridCol w:w="1240"/>
        <w:gridCol w:w="610"/>
        <w:gridCol w:w="6014"/>
      </w:tblGrid>
      <w:tr w:rsidR="00342F1B" w:rsidTr="00342F1B">
        <w:trPr>
          <w:trHeight w:val="490"/>
        </w:trPr>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b/>
                <w:bCs/>
                <w:color w:val="000000"/>
                <w:kern w:val="0"/>
              </w:rPr>
              <w:t>序号</w:t>
            </w:r>
          </w:p>
        </w:tc>
        <w:tc>
          <w:tcPr>
            <w:tcW w:w="12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b/>
                <w:bCs/>
                <w:color w:val="000000"/>
                <w:kern w:val="0"/>
              </w:rPr>
              <w:t>评分因素</w:t>
            </w:r>
          </w:p>
        </w:tc>
        <w:tc>
          <w:tcPr>
            <w:tcW w:w="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b/>
                <w:bCs/>
                <w:color w:val="000000"/>
                <w:kern w:val="0"/>
              </w:rPr>
              <w:t>分值</w:t>
            </w: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b/>
                <w:bCs/>
                <w:color w:val="000000"/>
                <w:kern w:val="0"/>
              </w:rPr>
              <w:t>评价内容</w:t>
            </w:r>
          </w:p>
        </w:tc>
      </w:tr>
      <w:tr w:rsidR="00342F1B" w:rsidTr="00342F1B">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proofErr w:type="gramStart"/>
            <w:r>
              <w:rPr>
                <w:rFonts w:ascii="宋体" w:hAnsi="宋体" w:hint="eastAsia"/>
                <w:color w:val="000000"/>
                <w:kern w:val="0"/>
              </w:rPr>
              <w:t>一</w:t>
            </w:r>
            <w:proofErr w:type="gramEnd"/>
          </w:p>
        </w:tc>
        <w:tc>
          <w:tcPr>
            <w:tcW w:w="12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投标报价</w:t>
            </w:r>
          </w:p>
        </w:tc>
        <w:tc>
          <w:tcPr>
            <w:tcW w:w="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20</w:t>
            </w: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left"/>
              <w:rPr>
                <w:rFonts w:ascii="宋体" w:hAnsi="宋体"/>
                <w:color w:val="000000"/>
                <w:kern w:val="0"/>
                <w:szCs w:val="21"/>
              </w:rPr>
            </w:pPr>
            <w:r>
              <w:rPr>
                <w:rFonts w:ascii="宋体" w:hAnsi="宋体" w:hint="eastAsia"/>
                <w:color w:val="000000"/>
                <w:kern w:val="0"/>
              </w:rPr>
              <w:t>综合评分法中的价格</w:t>
            </w:r>
            <w:proofErr w:type="gramStart"/>
            <w:r>
              <w:rPr>
                <w:rFonts w:ascii="宋体" w:hAnsi="宋体" w:hint="eastAsia"/>
                <w:color w:val="000000"/>
                <w:kern w:val="0"/>
              </w:rPr>
              <w:t>分统一</w:t>
            </w:r>
            <w:proofErr w:type="gramEnd"/>
            <w:r>
              <w:rPr>
                <w:rFonts w:ascii="宋体" w:hAnsi="宋体" w:hint="eastAsia"/>
                <w:color w:val="000000"/>
                <w:kern w:val="0"/>
              </w:rPr>
              <w:t>采用低价优先法计算,即满足招标文件要求且投标价格最低的投标报价为评标基准价,其价格分为满分。其他投标人的价格</w:t>
            </w:r>
            <w:proofErr w:type="gramStart"/>
            <w:r>
              <w:rPr>
                <w:rFonts w:ascii="宋体" w:hAnsi="宋体" w:hint="eastAsia"/>
                <w:color w:val="000000"/>
                <w:kern w:val="0"/>
              </w:rPr>
              <w:t>分统一</w:t>
            </w:r>
            <w:proofErr w:type="gramEnd"/>
            <w:r>
              <w:rPr>
                <w:rFonts w:ascii="宋体" w:hAnsi="宋体" w:hint="eastAsia"/>
                <w:color w:val="000000"/>
                <w:kern w:val="0"/>
              </w:rPr>
              <w:t xml:space="preserve">按照下列公式计算:  </w:t>
            </w:r>
          </w:p>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投标报价得分=(评标基准价/投标报价)×分值</w:t>
            </w:r>
          </w:p>
        </w:tc>
      </w:tr>
      <w:tr w:rsidR="00342F1B" w:rsidTr="00342F1B">
        <w:trPr>
          <w:trHeight w:val="250"/>
        </w:trPr>
        <w:tc>
          <w:tcPr>
            <w:tcW w:w="65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二</w:t>
            </w:r>
          </w:p>
        </w:tc>
        <w:tc>
          <w:tcPr>
            <w:tcW w:w="12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技术部分</w:t>
            </w:r>
          </w:p>
        </w:tc>
        <w:tc>
          <w:tcPr>
            <w:tcW w:w="61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50</w:t>
            </w: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1、整体方案（</w:t>
            </w:r>
            <w:r>
              <w:rPr>
                <w:b/>
                <w:bCs/>
              </w:rPr>
              <w:t>10</w:t>
            </w:r>
            <w:r>
              <w:rPr>
                <w:rFonts w:ascii="宋体" w:hAnsi="宋体" w:hint="eastAsia"/>
                <w:b/>
                <w:bCs/>
              </w:rPr>
              <w:t>分）</w:t>
            </w:r>
          </w:p>
          <w:p w:rsidR="00342F1B" w:rsidRDefault="00342F1B">
            <w:r>
              <w:rPr>
                <w:rFonts w:ascii="宋体" w:hAnsi="宋体" w:hint="eastAsia"/>
              </w:rPr>
              <w:t>依据投标人提供的整体方案的完整性、合理性进行横向比较。</w:t>
            </w:r>
          </w:p>
          <w:p w:rsidR="00342F1B" w:rsidRDefault="00342F1B">
            <w:pPr>
              <w:rPr>
                <w:szCs w:val="21"/>
              </w:rPr>
            </w:pPr>
            <w:r>
              <w:rPr>
                <w:rFonts w:ascii="宋体" w:hAnsi="宋体" w:hint="eastAsia"/>
              </w:rPr>
              <w:t>评分标准：优（</w:t>
            </w:r>
            <w:r>
              <w:t>10</w:t>
            </w:r>
            <w:r>
              <w:rPr>
                <w:rFonts w:ascii="宋体" w:hAnsi="宋体" w:hint="eastAsia"/>
              </w:rPr>
              <w:t>分）；良（</w:t>
            </w:r>
            <w:r>
              <w:t>8</w:t>
            </w:r>
            <w:r>
              <w:rPr>
                <w:rFonts w:ascii="宋体" w:hAnsi="宋体" w:hint="eastAsia"/>
              </w:rPr>
              <w:t>分）；中（</w:t>
            </w:r>
            <w:r>
              <w:t>4</w:t>
            </w:r>
            <w:r>
              <w:rPr>
                <w:rFonts w:ascii="宋体" w:hAnsi="宋体" w:hint="eastAsia"/>
              </w:rPr>
              <w:t>分）；差（</w:t>
            </w:r>
            <w:r>
              <w:t>0</w:t>
            </w:r>
            <w:r>
              <w:rPr>
                <w:rFonts w:ascii="宋体" w:hAnsi="宋体" w:hint="eastAsia"/>
              </w:rPr>
              <w:t>分）。</w:t>
            </w:r>
          </w:p>
        </w:tc>
      </w:tr>
      <w:tr w:rsidR="00342F1B" w:rsidTr="00342F1B">
        <w:trPr>
          <w:trHeight w:val="405"/>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2、方案与相关政策法规及国标的符合性（</w:t>
            </w:r>
            <w:r>
              <w:rPr>
                <w:b/>
                <w:bCs/>
              </w:rPr>
              <w:t>5</w:t>
            </w:r>
            <w:r>
              <w:rPr>
                <w:rFonts w:ascii="宋体" w:hAnsi="宋体" w:hint="eastAsia"/>
                <w:b/>
                <w:bCs/>
              </w:rPr>
              <w:t>分）</w:t>
            </w:r>
          </w:p>
          <w:p w:rsidR="00342F1B" w:rsidRDefault="00342F1B">
            <w:r>
              <w:rPr>
                <w:rFonts w:ascii="宋体" w:hAnsi="宋体" w:hint="eastAsia"/>
              </w:rPr>
              <w:t>依据投标人提供的方案与安全风险评估、等级保护以及深圳市当前电子政务相关政策法规和国家标准的符合性情况进行横向比较。</w:t>
            </w:r>
          </w:p>
          <w:p w:rsidR="00342F1B" w:rsidRDefault="00342F1B">
            <w:pPr>
              <w:rPr>
                <w:szCs w:val="21"/>
              </w:rPr>
            </w:pPr>
            <w:r>
              <w:rPr>
                <w:rFonts w:ascii="宋体" w:hAnsi="宋体" w:hint="eastAsia"/>
              </w:rPr>
              <w:t>评分标准：优（</w:t>
            </w:r>
            <w:r>
              <w:t>5</w:t>
            </w:r>
            <w:r>
              <w:rPr>
                <w:rFonts w:ascii="宋体" w:hAnsi="宋体" w:hint="eastAsia"/>
              </w:rPr>
              <w:t>分）；良（</w:t>
            </w:r>
            <w:r>
              <w:t>4</w:t>
            </w:r>
            <w:r>
              <w:rPr>
                <w:rFonts w:ascii="宋体" w:hAnsi="宋体" w:hint="eastAsia"/>
              </w:rPr>
              <w:t>分）；中（</w:t>
            </w:r>
            <w:r>
              <w:t>2</w:t>
            </w:r>
            <w:r>
              <w:rPr>
                <w:rFonts w:ascii="宋体" w:hAnsi="宋体" w:hint="eastAsia"/>
              </w:rPr>
              <w:t>分）；差（</w:t>
            </w:r>
            <w:r>
              <w:t>0</w:t>
            </w:r>
            <w:r>
              <w:rPr>
                <w:rFonts w:ascii="宋体" w:hAnsi="宋体" w:hint="eastAsia"/>
              </w:rPr>
              <w:t>分）。</w:t>
            </w:r>
          </w:p>
        </w:tc>
      </w:tr>
      <w:tr w:rsidR="00342F1B" w:rsidTr="00342F1B">
        <w:trPr>
          <w:trHeight w:val="405"/>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3、项目拟使用的工具情况（</w:t>
            </w:r>
            <w:r>
              <w:rPr>
                <w:b/>
                <w:bCs/>
              </w:rPr>
              <w:t>10</w:t>
            </w:r>
            <w:r>
              <w:rPr>
                <w:rFonts w:ascii="宋体" w:hAnsi="宋体" w:hint="eastAsia"/>
                <w:b/>
                <w:bCs/>
              </w:rPr>
              <w:t>分）</w:t>
            </w:r>
          </w:p>
          <w:p w:rsidR="00342F1B" w:rsidRDefault="00342F1B">
            <w:pPr>
              <w:jc w:val="left"/>
              <w:rPr>
                <w:rFonts w:ascii="宋体" w:hAnsi="宋体"/>
              </w:rPr>
            </w:pPr>
            <w:r>
              <w:rPr>
                <w:rFonts w:ascii="宋体" w:hAnsi="宋体" w:hint="eastAsia"/>
              </w:rPr>
              <w:t>依据</w:t>
            </w:r>
            <w:r>
              <w:rPr>
                <w:rFonts w:hint="eastAsia"/>
              </w:rPr>
              <w:t>投标人具备开展业务信息系统服务器漏洞扫描、网络层扫描、移动安全漏洞扫描及对外服务网站应用层扫描所使用的专业检测工具</w:t>
            </w:r>
            <w:r>
              <w:rPr>
                <w:rFonts w:ascii="宋体" w:hAnsi="宋体" w:hint="eastAsia"/>
              </w:rPr>
              <w:t>投入使用的设备情况进行评审，评委根据供应</w:t>
            </w:r>
            <w:proofErr w:type="gramStart"/>
            <w:r>
              <w:rPr>
                <w:rFonts w:ascii="宋体" w:hAnsi="宋体" w:hint="eastAsia"/>
              </w:rPr>
              <w:t>商情况</w:t>
            </w:r>
            <w:proofErr w:type="gramEnd"/>
            <w:r>
              <w:rPr>
                <w:rFonts w:ascii="宋体" w:hAnsi="宋体" w:hint="eastAsia"/>
              </w:rPr>
              <w:t>横向比较：</w:t>
            </w:r>
          </w:p>
          <w:p w:rsidR="00342F1B" w:rsidRDefault="00342F1B">
            <w:pPr>
              <w:jc w:val="left"/>
              <w:rPr>
                <w:rFonts w:ascii="宋体" w:hAnsi="宋体" w:hint="eastAsia"/>
              </w:rPr>
            </w:pPr>
            <w:r>
              <w:rPr>
                <w:rFonts w:ascii="宋体" w:hAnsi="宋体" w:hint="eastAsia"/>
              </w:rPr>
              <w:t>能</w:t>
            </w:r>
            <w:r>
              <w:rPr>
                <w:rFonts w:hint="eastAsia"/>
              </w:rPr>
              <w:t>提供</w:t>
            </w:r>
            <w:r>
              <w:t>5</w:t>
            </w:r>
            <w:r>
              <w:rPr>
                <w:rFonts w:ascii="宋体" w:hAnsi="宋体" w:hint="eastAsia"/>
              </w:rPr>
              <w:t>种及以上工具第一名的，得</w:t>
            </w:r>
            <w:r>
              <w:rPr>
                <w:rFonts w:ascii="宋体" w:hAnsi="宋体" w:hint="eastAsia"/>
                <w:kern w:val="0"/>
                <w:u w:val="single"/>
              </w:rPr>
              <w:t xml:space="preserve"> 10 </w:t>
            </w:r>
            <w:r>
              <w:rPr>
                <w:rFonts w:ascii="宋体" w:hAnsi="宋体" w:hint="eastAsia"/>
              </w:rPr>
              <w:t>分；</w:t>
            </w:r>
          </w:p>
          <w:p w:rsidR="00342F1B" w:rsidRDefault="00342F1B">
            <w:pPr>
              <w:jc w:val="left"/>
              <w:rPr>
                <w:rFonts w:ascii="宋体" w:hAnsi="宋体" w:hint="eastAsia"/>
              </w:rPr>
            </w:pPr>
            <w:r>
              <w:rPr>
                <w:rFonts w:ascii="宋体" w:hAnsi="宋体" w:hint="eastAsia"/>
              </w:rPr>
              <w:t>能</w:t>
            </w:r>
            <w:r>
              <w:rPr>
                <w:rFonts w:hint="eastAsia"/>
              </w:rPr>
              <w:t>提供</w:t>
            </w:r>
            <w:r>
              <w:t>4</w:t>
            </w:r>
            <w:r>
              <w:rPr>
                <w:rFonts w:ascii="宋体" w:hAnsi="宋体" w:hint="eastAsia"/>
              </w:rPr>
              <w:t>种工具第二名的，得</w:t>
            </w:r>
            <w:r>
              <w:rPr>
                <w:rFonts w:ascii="宋体" w:hAnsi="宋体" w:hint="eastAsia"/>
                <w:kern w:val="0"/>
                <w:u w:val="single"/>
              </w:rPr>
              <w:t xml:space="preserve"> 6</w:t>
            </w:r>
            <w:r>
              <w:rPr>
                <w:rFonts w:ascii="宋体" w:hAnsi="宋体" w:hint="eastAsia"/>
              </w:rPr>
              <w:t>分；</w:t>
            </w:r>
          </w:p>
          <w:p w:rsidR="00342F1B" w:rsidRDefault="00342F1B">
            <w:pPr>
              <w:jc w:val="left"/>
              <w:rPr>
                <w:rFonts w:ascii="宋体" w:hAnsi="宋体" w:hint="eastAsia"/>
              </w:rPr>
            </w:pPr>
            <w:r>
              <w:rPr>
                <w:rFonts w:ascii="宋体" w:hAnsi="宋体" w:hint="eastAsia"/>
              </w:rPr>
              <w:t>能</w:t>
            </w:r>
            <w:r>
              <w:rPr>
                <w:rFonts w:hint="eastAsia"/>
              </w:rPr>
              <w:t>提供</w:t>
            </w:r>
            <w:r>
              <w:t>3</w:t>
            </w:r>
            <w:r>
              <w:rPr>
                <w:rFonts w:ascii="宋体" w:hAnsi="宋体" w:hint="eastAsia"/>
              </w:rPr>
              <w:t>种工具第三名的，得</w:t>
            </w:r>
            <w:r>
              <w:rPr>
                <w:rFonts w:ascii="宋体" w:hAnsi="宋体" w:hint="eastAsia"/>
                <w:kern w:val="0"/>
                <w:u w:val="single"/>
              </w:rPr>
              <w:t xml:space="preserve">3 </w:t>
            </w:r>
            <w:r>
              <w:rPr>
                <w:rFonts w:ascii="宋体" w:hAnsi="宋体" w:hint="eastAsia"/>
              </w:rPr>
              <w:t>分；</w:t>
            </w:r>
          </w:p>
          <w:p w:rsidR="00342F1B" w:rsidRDefault="00342F1B">
            <w:pPr>
              <w:jc w:val="left"/>
              <w:rPr>
                <w:rFonts w:ascii="宋体" w:hAnsi="宋体" w:hint="eastAsia"/>
              </w:rPr>
            </w:pPr>
            <w:r>
              <w:rPr>
                <w:rFonts w:ascii="宋体" w:hAnsi="宋体" w:hint="eastAsia"/>
              </w:rPr>
              <w:t>能</w:t>
            </w:r>
            <w:r>
              <w:rPr>
                <w:rFonts w:hint="eastAsia"/>
              </w:rPr>
              <w:t>提供</w:t>
            </w:r>
            <w:r>
              <w:t>2</w:t>
            </w:r>
            <w:r>
              <w:rPr>
                <w:rFonts w:ascii="宋体" w:hAnsi="宋体" w:hint="eastAsia"/>
              </w:rPr>
              <w:t>种及以下工具为第四名及以后的，得</w:t>
            </w:r>
            <w:r>
              <w:rPr>
                <w:rFonts w:ascii="宋体" w:hAnsi="宋体" w:hint="eastAsia"/>
                <w:kern w:val="0"/>
                <w:u w:val="single"/>
              </w:rPr>
              <w:t xml:space="preserve">1 </w:t>
            </w:r>
            <w:r>
              <w:rPr>
                <w:rFonts w:ascii="宋体" w:hAnsi="宋体" w:hint="eastAsia"/>
              </w:rPr>
              <w:t>分。</w:t>
            </w:r>
          </w:p>
          <w:p w:rsidR="00342F1B" w:rsidRDefault="00342F1B">
            <w:pPr>
              <w:jc w:val="left"/>
              <w:rPr>
                <w:rFonts w:ascii="Times New Roman" w:hAnsi="Times New Roman" w:hint="eastAsia"/>
              </w:rPr>
            </w:pPr>
            <w:r>
              <w:rPr>
                <w:rFonts w:hint="eastAsia"/>
                <w:b/>
                <w:bCs/>
              </w:rPr>
              <w:t>注：</w:t>
            </w:r>
            <w:r>
              <w:rPr>
                <w:rFonts w:hint="eastAsia"/>
              </w:rPr>
              <w:t>（</w:t>
            </w:r>
            <w:r>
              <w:t>1</w:t>
            </w:r>
            <w:r>
              <w:rPr>
                <w:rFonts w:ascii="宋体" w:hAnsi="宋体" w:hint="eastAsia"/>
              </w:rPr>
              <w:t>）自行开发的专业工具软件，提供《软件著作权登记证书》扫描件。</w:t>
            </w:r>
          </w:p>
          <w:p w:rsidR="00342F1B" w:rsidRDefault="00342F1B">
            <w:pPr>
              <w:jc w:val="left"/>
              <w:rPr>
                <w:szCs w:val="21"/>
              </w:rPr>
            </w:pPr>
            <w:r>
              <w:rPr>
                <w:rFonts w:hint="eastAsia"/>
              </w:rPr>
              <w:t>（</w:t>
            </w:r>
            <w:r>
              <w:t>2</w:t>
            </w:r>
            <w:r>
              <w:rPr>
                <w:rFonts w:ascii="宋体" w:hAnsi="宋体" w:hint="eastAsia"/>
              </w:rPr>
              <w:t>）外购的专业工具软件，提供采购工具的合同扫描件。原件备查。未按要求提供或提供不清晰导致专家无法判断的不得分。</w:t>
            </w:r>
          </w:p>
        </w:tc>
      </w:tr>
      <w:tr w:rsidR="00342F1B" w:rsidTr="00342F1B">
        <w:trPr>
          <w:trHeight w:val="90"/>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rFonts w:ascii="宋体" w:hAnsi="宋体"/>
                <w:b/>
                <w:bCs/>
                <w:szCs w:val="21"/>
              </w:rPr>
            </w:pPr>
            <w:r>
              <w:rPr>
                <w:rFonts w:ascii="宋体" w:hAnsi="宋体" w:hint="eastAsia"/>
                <w:b/>
                <w:bCs/>
              </w:rPr>
              <w:t>拟安排的项目负责人情况（6分）</w:t>
            </w:r>
          </w:p>
          <w:p w:rsidR="00342F1B" w:rsidRDefault="00342F1B">
            <w:pPr>
              <w:jc w:val="left"/>
              <w:rPr>
                <w:rFonts w:ascii="宋体" w:hAnsi="宋体" w:hint="eastAsia"/>
              </w:rPr>
            </w:pPr>
            <w:r>
              <w:rPr>
                <w:rFonts w:ascii="宋体" w:hAnsi="宋体" w:hint="eastAsia"/>
              </w:rPr>
              <w:t>项目负责人具有高级网络安全工程师证书、信息系统高级项目管理师证书、项目经理认证资格证书、CISP证书、C-CCSK、PMP证书的，每个证书得1分，最多得6分。未按要求提供或提供不清晰导致专家无法判断的不得分。</w:t>
            </w:r>
          </w:p>
          <w:p w:rsidR="00342F1B" w:rsidRDefault="00342F1B">
            <w:pPr>
              <w:widowControl/>
              <w:spacing w:before="100" w:beforeAutospacing="1" w:after="100" w:afterAutospacing="1" w:line="240" w:lineRule="atLeast"/>
              <w:rPr>
                <w:szCs w:val="21"/>
              </w:rPr>
            </w:pPr>
            <w:r>
              <w:rPr>
                <w:rFonts w:ascii="宋体" w:hAnsi="宋体" w:hint="eastAsia"/>
                <w:b/>
                <w:bCs/>
              </w:rPr>
              <w:t>注：</w:t>
            </w:r>
            <w:r>
              <w:rPr>
                <w:rFonts w:ascii="宋体" w:hAnsi="宋体" w:hint="eastAsia"/>
              </w:rPr>
              <w:t>提供项目负责人技术资格证书及近两个月</w:t>
            </w:r>
            <w:proofErr w:type="gramStart"/>
            <w:r>
              <w:rPr>
                <w:rFonts w:ascii="宋体" w:hAnsi="宋体" w:hint="eastAsia"/>
              </w:rPr>
              <w:t>社保证明</w:t>
            </w:r>
            <w:proofErr w:type="gramEnd"/>
            <w:r>
              <w:rPr>
                <w:rFonts w:ascii="宋体" w:hAnsi="宋体" w:hint="eastAsia"/>
              </w:rPr>
              <w:t>文件，未按要求提供或提供不清晰导致专家无法判断的不得分。</w:t>
            </w:r>
          </w:p>
        </w:tc>
      </w:tr>
      <w:tr w:rsidR="00342F1B" w:rsidTr="00342F1B">
        <w:trPr>
          <w:trHeight w:val="90"/>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42F1B" w:rsidRDefault="00342F1B">
            <w:pPr>
              <w:rPr>
                <w:szCs w:val="21"/>
              </w:rPr>
            </w:pPr>
            <w:r>
              <w:rPr>
                <w:rFonts w:ascii="宋体" w:hAnsi="宋体" w:hint="eastAsia"/>
                <w:b/>
                <w:bCs/>
              </w:rPr>
              <w:t>5、拟安排的项目团队成员（项目负责人除外）情况（</w:t>
            </w:r>
            <w:r>
              <w:rPr>
                <w:b/>
                <w:bCs/>
              </w:rPr>
              <w:t>9</w:t>
            </w:r>
            <w:r>
              <w:rPr>
                <w:rFonts w:ascii="宋体" w:hAnsi="宋体" w:hint="eastAsia"/>
                <w:b/>
                <w:bCs/>
              </w:rPr>
              <w:t>分）</w:t>
            </w:r>
          </w:p>
          <w:p w:rsidR="00342F1B" w:rsidRDefault="00342F1B"/>
          <w:p w:rsidR="00342F1B" w:rsidRDefault="00342F1B">
            <w:pPr>
              <w:ind w:left="-9"/>
              <w:jc w:val="left"/>
            </w:pPr>
            <w:r>
              <w:rPr>
                <w:rFonts w:ascii="宋体" w:hAnsi="宋体" w:hint="eastAsia"/>
              </w:rPr>
              <w:t>拟安排项目团队服务人员中，具备项目经理认证资格证书、ISO27001证书、CISP证书中的两项，每一人得3分，最高得9分。</w:t>
            </w:r>
          </w:p>
          <w:p w:rsidR="00342F1B" w:rsidRDefault="00342F1B">
            <w:pPr>
              <w:ind w:left="-9"/>
              <w:jc w:val="left"/>
              <w:rPr>
                <w:b/>
                <w:bCs/>
                <w:szCs w:val="21"/>
              </w:rPr>
            </w:pPr>
            <w:r>
              <w:rPr>
                <w:rFonts w:ascii="宋体" w:hAnsi="宋体" w:hint="eastAsia"/>
                <w:b/>
                <w:bCs/>
              </w:rPr>
              <w:t>注：</w:t>
            </w:r>
            <w:r>
              <w:rPr>
                <w:rFonts w:ascii="宋体" w:hAnsi="宋体" w:hint="eastAsia"/>
              </w:rPr>
              <w:t>提供技术人员资格证书及近两个月</w:t>
            </w:r>
            <w:proofErr w:type="gramStart"/>
            <w:r>
              <w:rPr>
                <w:rFonts w:ascii="宋体" w:hAnsi="宋体" w:hint="eastAsia"/>
              </w:rPr>
              <w:t>社保证明</w:t>
            </w:r>
            <w:proofErr w:type="gramEnd"/>
            <w:r>
              <w:rPr>
                <w:rFonts w:ascii="宋体" w:hAnsi="宋体" w:hint="eastAsia"/>
              </w:rPr>
              <w:t>文件，未按要求提供或提供不清晰导致专家无法判断的不得分。</w:t>
            </w:r>
          </w:p>
        </w:tc>
      </w:tr>
      <w:tr w:rsidR="00342F1B" w:rsidTr="00342F1B">
        <w:trPr>
          <w:trHeight w:val="3082"/>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42F1B" w:rsidRDefault="00342F1B">
            <w:pPr>
              <w:rPr>
                <w:b/>
                <w:bCs/>
                <w:szCs w:val="21"/>
              </w:rPr>
            </w:pPr>
            <w:r>
              <w:rPr>
                <w:rFonts w:ascii="宋体" w:hAnsi="宋体" w:hint="eastAsia"/>
                <w:b/>
                <w:bCs/>
              </w:rPr>
              <w:t>6. 服务质量情况</w:t>
            </w:r>
            <w:r>
              <w:rPr>
                <w:b/>
                <w:bCs/>
              </w:rPr>
              <w:t>( 10</w:t>
            </w:r>
            <w:r>
              <w:rPr>
                <w:rFonts w:ascii="宋体" w:hAnsi="宋体" w:hint="eastAsia"/>
                <w:b/>
                <w:bCs/>
              </w:rPr>
              <w:t>分</w:t>
            </w:r>
            <w:r>
              <w:rPr>
                <w:b/>
                <w:bCs/>
              </w:rPr>
              <w:t>)</w:t>
            </w:r>
          </w:p>
          <w:p w:rsidR="00342F1B" w:rsidRDefault="00342F1B">
            <w:r>
              <w:rPr>
                <w:rFonts w:ascii="宋体" w:hAnsi="宋体" w:hint="eastAsia"/>
              </w:rPr>
              <w:t>依据投标人所签约的信息安全联合检查服务单位在</w:t>
            </w:r>
            <w:r>
              <w:t>2015</w:t>
            </w:r>
            <w:r>
              <w:rPr>
                <w:rFonts w:ascii="宋体" w:hAnsi="宋体" w:hint="eastAsia"/>
              </w:rPr>
              <w:t>年以来深圳市关于党政机关信息安全联合检查的情况有关通报文件中被通报表扬的案例个数。</w:t>
            </w:r>
          </w:p>
          <w:p w:rsidR="00342F1B" w:rsidRDefault="00342F1B">
            <w:pPr>
              <w:rPr>
                <w:rFonts w:ascii="宋体" w:hAnsi="宋体"/>
                <w:kern w:val="0"/>
              </w:rPr>
            </w:pPr>
            <w:r>
              <w:rPr>
                <w:rFonts w:ascii="宋体" w:hAnsi="宋体" w:hint="eastAsia"/>
                <w:kern w:val="0"/>
              </w:rPr>
              <w:t>表扬案例数≥8得10分；</w:t>
            </w:r>
          </w:p>
          <w:p w:rsidR="00342F1B" w:rsidRDefault="00342F1B">
            <w:pPr>
              <w:rPr>
                <w:rFonts w:ascii="宋体" w:hAnsi="宋体" w:hint="eastAsia"/>
                <w:kern w:val="0"/>
              </w:rPr>
            </w:pPr>
            <w:r>
              <w:rPr>
                <w:rFonts w:ascii="宋体" w:hAnsi="宋体" w:hint="eastAsia"/>
                <w:kern w:val="0"/>
              </w:rPr>
              <w:t>5≤案例数≤7 得6分；</w:t>
            </w:r>
          </w:p>
          <w:p w:rsidR="00342F1B" w:rsidRDefault="00342F1B">
            <w:pPr>
              <w:rPr>
                <w:rFonts w:ascii="宋体" w:hAnsi="宋体" w:hint="eastAsia"/>
                <w:kern w:val="0"/>
              </w:rPr>
            </w:pPr>
            <w:r>
              <w:rPr>
                <w:rFonts w:ascii="宋体" w:hAnsi="宋体" w:hint="eastAsia"/>
                <w:kern w:val="0"/>
              </w:rPr>
              <w:t>3≤案例数&lt;5 得3分；</w:t>
            </w:r>
          </w:p>
          <w:p w:rsidR="00342F1B" w:rsidRDefault="00342F1B">
            <w:pPr>
              <w:rPr>
                <w:rFonts w:ascii="宋体" w:hAnsi="宋体" w:hint="eastAsia"/>
                <w:kern w:val="0"/>
              </w:rPr>
            </w:pPr>
            <w:r>
              <w:rPr>
                <w:rFonts w:ascii="宋体" w:hAnsi="宋体" w:hint="eastAsia"/>
                <w:kern w:val="0"/>
              </w:rPr>
              <w:t>1≤案例数&lt;3  得1分；</w:t>
            </w:r>
          </w:p>
          <w:p w:rsidR="00342F1B" w:rsidRDefault="00342F1B">
            <w:pPr>
              <w:rPr>
                <w:rFonts w:ascii="宋体" w:hAnsi="宋体" w:hint="eastAsia"/>
                <w:kern w:val="0"/>
              </w:rPr>
            </w:pPr>
            <w:r>
              <w:rPr>
                <w:rFonts w:ascii="宋体" w:hAnsi="宋体" w:hint="eastAsia"/>
                <w:kern w:val="0"/>
              </w:rPr>
              <w:t>无表扬案例 不得分。</w:t>
            </w:r>
          </w:p>
          <w:p w:rsidR="00342F1B" w:rsidRDefault="00342F1B">
            <w:pPr>
              <w:rPr>
                <w:rFonts w:ascii="宋体" w:hAnsi="宋体" w:hint="eastAsia"/>
                <w:kern w:val="0"/>
              </w:rPr>
            </w:pPr>
          </w:p>
          <w:p w:rsidR="00342F1B" w:rsidRDefault="00342F1B">
            <w:pPr>
              <w:rPr>
                <w:rFonts w:ascii="宋体" w:hAnsi="宋体"/>
                <w:kern w:val="0"/>
                <w:szCs w:val="21"/>
              </w:rPr>
            </w:pPr>
            <w:r>
              <w:rPr>
                <w:rFonts w:ascii="宋体" w:hAnsi="宋体" w:hint="eastAsia"/>
                <w:b/>
                <w:bCs/>
              </w:rPr>
              <w:t>注</w:t>
            </w:r>
            <w:r>
              <w:rPr>
                <w:rFonts w:ascii="宋体" w:hAnsi="宋体" w:hint="eastAsia"/>
              </w:rPr>
              <w:t>：需提供有关通报表扬情况文件以及被表扬单位与投标人签订的信息安全服务合同关键页复印件加盖投标人公章</w:t>
            </w:r>
            <w:r>
              <w:t xml:space="preserve">, </w:t>
            </w:r>
            <w:r>
              <w:rPr>
                <w:rFonts w:ascii="宋体" w:hAnsi="宋体" w:hint="eastAsia"/>
              </w:rPr>
              <w:t>原件备查。不提供或者不能有效证明的，不得分。</w:t>
            </w:r>
          </w:p>
        </w:tc>
      </w:tr>
      <w:tr w:rsidR="00342F1B" w:rsidTr="00342F1B">
        <w:trPr>
          <w:trHeight w:val="922"/>
        </w:trPr>
        <w:tc>
          <w:tcPr>
            <w:tcW w:w="65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三</w:t>
            </w:r>
          </w:p>
        </w:tc>
        <w:tc>
          <w:tcPr>
            <w:tcW w:w="124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商务部分</w:t>
            </w:r>
          </w:p>
        </w:tc>
        <w:tc>
          <w:tcPr>
            <w:tcW w:w="61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widowControl/>
              <w:spacing w:before="100" w:beforeAutospacing="1" w:after="100" w:afterAutospacing="1" w:line="240" w:lineRule="atLeast"/>
              <w:jc w:val="center"/>
              <w:rPr>
                <w:szCs w:val="21"/>
              </w:rPr>
            </w:pPr>
            <w:r>
              <w:rPr>
                <w:rFonts w:ascii="宋体" w:hAnsi="宋体" w:hint="eastAsia"/>
                <w:color w:val="000000"/>
                <w:kern w:val="0"/>
              </w:rPr>
              <w:t>25</w:t>
            </w: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 xml:space="preserve">1.快速响应服务 </w:t>
            </w:r>
            <w:r>
              <w:rPr>
                <w:b/>
                <w:bCs/>
              </w:rPr>
              <w:t>(4</w:t>
            </w:r>
            <w:r>
              <w:rPr>
                <w:rFonts w:ascii="宋体" w:hAnsi="宋体" w:hint="eastAsia"/>
                <w:b/>
                <w:bCs/>
              </w:rPr>
              <w:t>分</w:t>
            </w:r>
            <w:r>
              <w:rPr>
                <w:b/>
                <w:bCs/>
              </w:rPr>
              <w:t>)</w:t>
            </w:r>
          </w:p>
          <w:p w:rsidR="00342F1B" w:rsidRDefault="00342F1B">
            <w:r>
              <w:rPr>
                <w:rFonts w:ascii="宋体" w:hAnsi="宋体" w:hint="eastAsia"/>
              </w:rPr>
              <w:t>评审标准</w:t>
            </w:r>
            <w:r>
              <w:t xml:space="preserve">: </w:t>
            </w:r>
            <w:r>
              <w:rPr>
                <w:rFonts w:ascii="宋体" w:hAnsi="宋体" w:hint="eastAsia"/>
              </w:rPr>
              <w:t>投标人注册地在深圳得</w:t>
            </w:r>
            <w:r>
              <w:t>4</w:t>
            </w:r>
            <w:r>
              <w:rPr>
                <w:rFonts w:ascii="宋体" w:hAnsi="宋体" w:hint="eastAsia"/>
              </w:rPr>
              <w:t>分，投标人为非深圳注册且在深圳有分公司得</w:t>
            </w:r>
            <w:r>
              <w:t>1</w:t>
            </w:r>
            <w:r>
              <w:rPr>
                <w:rFonts w:ascii="宋体" w:hAnsi="宋体" w:hint="eastAsia"/>
              </w:rPr>
              <w:t xml:space="preserve">分，否则不得分。 </w:t>
            </w:r>
          </w:p>
          <w:p w:rsidR="00342F1B" w:rsidRDefault="00342F1B">
            <w:r>
              <w:rPr>
                <w:rFonts w:ascii="宋体" w:hAnsi="宋体" w:hint="eastAsia"/>
                <w:b/>
                <w:bCs/>
              </w:rPr>
              <w:t>注：</w:t>
            </w:r>
            <w:r>
              <w:rPr>
                <w:rFonts w:ascii="宋体" w:hAnsi="宋体" w:hint="eastAsia"/>
              </w:rPr>
              <w:t>（</w:t>
            </w:r>
            <w:r>
              <w:t>1</w:t>
            </w:r>
            <w:r>
              <w:rPr>
                <w:rFonts w:ascii="宋体" w:hAnsi="宋体" w:hint="eastAsia"/>
              </w:rPr>
              <w:t>）提供相关证明扫描件，原件备查；投标人如为非深圳注册且在深圳有分公司的：须提供经深圳市市场监督管理部门注册的分公司营业执照扫描件；</w:t>
            </w:r>
          </w:p>
          <w:p w:rsidR="00342F1B" w:rsidRDefault="00342F1B">
            <w:pPr>
              <w:rPr>
                <w:szCs w:val="21"/>
              </w:rPr>
            </w:pPr>
            <w:r>
              <w:rPr>
                <w:rFonts w:ascii="宋体" w:hAnsi="宋体" w:hint="eastAsia"/>
              </w:rPr>
              <w:t>（</w:t>
            </w:r>
            <w:r>
              <w:t>2</w:t>
            </w:r>
            <w:r>
              <w:rPr>
                <w:rFonts w:ascii="宋体" w:hAnsi="宋体" w:hint="eastAsia"/>
              </w:rPr>
              <w:t>）不提供或者不能有效证明的，不得分。</w:t>
            </w:r>
          </w:p>
        </w:tc>
      </w:tr>
      <w:tr w:rsidR="00342F1B" w:rsidTr="00342F1B">
        <w:trPr>
          <w:trHeight w:val="1810"/>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2.</w:t>
            </w:r>
            <w:r>
              <w:rPr>
                <w:rFonts w:hint="eastAsia"/>
                <w:b/>
                <w:bCs/>
              </w:rPr>
              <w:t>获奖情况</w:t>
            </w:r>
            <w:r>
              <w:rPr>
                <w:rFonts w:ascii="宋体" w:hAnsi="宋体" w:hint="eastAsia"/>
                <w:b/>
                <w:bCs/>
              </w:rPr>
              <w:t>（</w:t>
            </w:r>
            <w:r>
              <w:rPr>
                <w:b/>
                <w:bCs/>
              </w:rPr>
              <w:t>6</w:t>
            </w:r>
            <w:r>
              <w:rPr>
                <w:rFonts w:ascii="宋体" w:hAnsi="宋体" w:hint="eastAsia"/>
                <w:b/>
                <w:bCs/>
              </w:rPr>
              <w:t>分）</w:t>
            </w:r>
          </w:p>
          <w:p w:rsidR="00342F1B" w:rsidRDefault="00342F1B">
            <w:r>
              <w:rPr>
                <w:rFonts w:hint="eastAsia"/>
              </w:rPr>
              <w:t>投标人在互联网安全领域有获奖项情况的得</w:t>
            </w:r>
            <w:r>
              <w:rPr>
                <w:rFonts w:ascii="宋体" w:hAnsi="宋体" w:hint="eastAsia"/>
              </w:rPr>
              <w:t>6分，不提供不得分。</w:t>
            </w:r>
          </w:p>
          <w:p w:rsidR="00342F1B" w:rsidRDefault="00342F1B">
            <w:pPr>
              <w:rPr>
                <w:szCs w:val="21"/>
              </w:rPr>
            </w:pPr>
            <w:r>
              <w:rPr>
                <w:rFonts w:ascii="宋体" w:hAnsi="宋体" w:hint="eastAsia"/>
                <w:b/>
                <w:bCs/>
              </w:rPr>
              <w:t>注：</w:t>
            </w:r>
            <w:r>
              <w:rPr>
                <w:rFonts w:hint="eastAsia"/>
              </w:rPr>
              <w:t>提供相关获奖证明文件扫描件</w:t>
            </w:r>
            <w:r>
              <w:rPr>
                <w:rFonts w:ascii="宋体" w:hAnsi="宋体" w:hint="eastAsia"/>
              </w:rPr>
              <w:t>加盖公章</w:t>
            </w:r>
            <w:r>
              <w:rPr>
                <w:rFonts w:hint="eastAsia"/>
              </w:rPr>
              <w:t>，原件备查，未按要求提供或提供不清晰导致专家无法判断的不得分。</w:t>
            </w:r>
          </w:p>
        </w:tc>
      </w:tr>
      <w:tr w:rsidR="00342F1B" w:rsidTr="00342F1B">
        <w:trPr>
          <w:trHeight w:val="4658"/>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42F1B" w:rsidRDefault="00342F1B">
            <w:pPr>
              <w:rPr>
                <w:b/>
                <w:bCs/>
                <w:szCs w:val="21"/>
              </w:rPr>
            </w:pPr>
            <w:r>
              <w:rPr>
                <w:rFonts w:ascii="宋体" w:hAnsi="宋体" w:hint="eastAsia"/>
                <w:b/>
                <w:bCs/>
              </w:rPr>
              <w:t>3. 投标人资质（</w:t>
            </w:r>
            <w:r>
              <w:rPr>
                <w:b/>
                <w:bCs/>
              </w:rPr>
              <w:t>10</w:t>
            </w:r>
            <w:r>
              <w:rPr>
                <w:rFonts w:ascii="宋体" w:hAnsi="宋体" w:hint="eastAsia"/>
                <w:b/>
                <w:bCs/>
              </w:rPr>
              <w:t>分）</w:t>
            </w:r>
          </w:p>
          <w:p w:rsidR="00342F1B" w:rsidRDefault="00342F1B">
            <w:r>
              <w:rPr>
                <w:rFonts w:ascii="宋体" w:hAnsi="宋体" w:hint="eastAsia"/>
              </w:rPr>
              <w:t>(1)  投标人具有国家保密局颁发的《涉及国家秘密的计算机信息系统集成资质证书》的，得</w:t>
            </w:r>
            <w:r>
              <w:t>2</w:t>
            </w:r>
            <w:r>
              <w:rPr>
                <w:rFonts w:ascii="宋体" w:hAnsi="宋体" w:hint="eastAsia"/>
              </w:rPr>
              <w:t>分；</w:t>
            </w:r>
            <w:bookmarkStart w:id="1" w:name="_Toc22351"/>
            <w:bookmarkEnd w:id="1"/>
          </w:p>
          <w:p w:rsidR="00342F1B" w:rsidRDefault="00342F1B">
            <w:r>
              <w:rPr>
                <w:rFonts w:ascii="宋体" w:hAnsi="宋体" w:hint="eastAsia"/>
              </w:rPr>
              <w:t>(2) 投标人具有中国信息安全测评中心颁发的《信息安全风险评估服务资质证书》的，得</w:t>
            </w:r>
            <w:r>
              <w:t>2</w:t>
            </w:r>
            <w:r>
              <w:rPr>
                <w:rFonts w:ascii="宋体" w:hAnsi="宋体" w:hint="eastAsia"/>
              </w:rPr>
              <w:t>分；</w:t>
            </w:r>
          </w:p>
          <w:p w:rsidR="00342F1B" w:rsidRDefault="00342F1B">
            <w:r>
              <w:rPr>
                <w:rFonts w:ascii="宋体" w:hAnsi="宋体" w:hint="eastAsia"/>
              </w:rPr>
              <w:t>(3)  投标人具有中国网络安全审查技术与认证中心颁发的《信息安全应急处理服务资质证书》的，得</w:t>
            </w:r>
            <w:r>
              <w:t>2</w:t>
            </w:r>
            <w:r>
              <w:rPr>
                <w:rFonts w:ascii="宋体" w:hAnsi="宋体" w:hint="eastAsia"/>
              </w:rPr>
              <w:t>分。</w:t>
            </w:r>
          </w:p>
          <w:p w:rsidR="00342F1B" w:rsidRDefault="00342F1B">
            <w:r>
              <w:rPr>
                <w:rFonts w:ascii="宋体" w:hAnsi="宋体" w:hint="eastAsia"/>
              </w:rPr>
              <w:t>(4) 投标人具有</w:t>
            </w:r>
            <w:r>
              <w:t>ISO9001:2015</w:t>
            </w:r>
            <w:r>
              <w:rPr>
                <w:rFonts w:ascii="宋体" w:hAnsi="宋体" w:hint="eastAsia"/>
              </w:rPr>
              <w:t>质量管理体系认证证书的，得</w:t>
            </w:r>
            <w:r>
              <w:t>2</w:t>
            </w:r>
            <w:r>
              <w:rPr>
                <w:rFonts w:ascii="宋体" w:hAnsi="宋体" w:hint="eastAsia"/>
              </w:rPr>
              <w:t>分；</w:t>
            </w:r>
          </w:p>
          <w:p w:rsidR="00342F1B" w:rsidRDefault="00342F1B">
            <w:r>
              <w:rPr>
                <w:rFonts w:ascii="宋体" w:hAnsi="宋体" w:hint="eastAsia"/>
              </w:rPr>
              <w:t>(5) 投标人具有保密技术防护专用系统研制资格的，得</w:t>
            </w:r>
            <w:r>
              <w:t>2</w:t>
            </w:r>
            <w:r>
              <w:rPr>
                <w:rFonts w:ascii="宋体" w:hAnsi="宋体" w:hint="eastAsia"/>
              </w:rPr>
              <w:t>分；</w:t>
            </w:r>
          </w:p>
          <w:p w:rsidR="00342F1B" w:rsidRDefault="00342F1B"/>
          <w:p w:rsidR="00342F1B" w:rsidRDefault="00342F1B">
            <w:pPr>
              <w:rPr>
                <w:b/>
                <w:bCs/>
              </w:rPr>
            </w:pPr>
            <w:r>
              <w:rPr>
                <w:rFonts w:ascii="宋体" w:hAnsi="宋体" w:hint="eastAsia"/>
                <w:b/>
                <w:bCs/>
              </w:rPr>
              <w:t>注：</w:t>
            </w:r>
          </w:p>
          <w:p w:rsidR="00342F1B" w:rsidRDefault="00342F1B">
            <w:pPr>
              <w:rPr>
                <w:szCs w:val="21"/>
              </w:rPr>
            </w:pPr>
            <w:r>
              <w:rPr>
                <w:rFonts w:ascii="宋体" w:hAnsi="宋体" w:hint="eastAsia"/>
              </w:rPr>
              <w:t>提供相关证书复印件并加盖投标人公章；不提供，不得分。</w:t>
            </w:r>
          </w:p>
        </w:tc>
      </w:tr>
      <w:tr w:rsidR="00342F1B" w:rsidTr="00342F1B">
        <w:trPr>
          <w:trHeight w:val="523"/>
        </w:trPr>
        <w:tc>
          <w:tcPr>
            <w:tcW w:w="656" w:type="dxa"/>
            <w:vMerge/>
            <w:tcBorders>
              <w:top w:val="nil"/>
              <w:left w:val="single" w:sz="8" w:space="0" w:color="000000"/>
              <w:bottom w:val="single" w:sz="8" w:space="0" w:color="000000"/>
              <w:right w:val="single" w:sz="8" w:space="0" w:color="000000"/>
            </w:tcBorders>
            <w:vAlign w:val="center"/>
            <w:hideMark/>
          </w:tcPr>
          <w:p w:rsidR="00342F1B" w:rsidRDefault="00342F1B">
            <w:pPr>
              <w:widowControl/>
              <w:jc w:val="left"/>
              <w:rPr>
                <w:szCs w:val="21"/>
              </w:rPr>
            </w:pPr>
          </w:p>
        </w:tc>
        <w:tc>
          <w:tcPr>
            <w:tcW w:w="124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10" w:type="dxa"/>
            <w:vMerge/>
            <w:tcBorders>
              <w:top w:val="nil"/>
              <w:left w:val="nil"/>
              <w:bottom w:val="single" w:sz="8" w:space="0" w:color="000000"/>
              <w:right w:val="single" w:sz="8" w:space="0" w:color="000000"/>
            </w:tcBorders>
            <w:vAlign w:val="center"/>
            <w:hideMark/>
          </w:tcPr>
          <w:p w:rsidR="00342F1B" w:rsidRDefault="00342F1B">
            <w:pPr>
              <w:widowControl/>
              <w:jc w:val="left"/>
              <w:rPr>
                <w:szCs w:val="21"/>
              </w:rPr>
            </w:pP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42F1B" w:rsidRDefault="00342F1B">
            <w:pPr>
              <w:rPr>
                <w:rFonts w:ascii="宋体" w:hAnsi="宋体"/>
                <w:szCs w:val="21"/>
              </w:rPr>
            </w:pPr>
            <w:r>
              <w:rPr>
                <w:rFonts w:ascii="宋体" w:hAnsi="宋体" w:hint="eastAsia"/>
                <w:b/>
                <w:bCs/>
              </w:rPr>
              <w:t>4. 投标人业绩情况（</w:t>
            </w:r>
            <w:r>
              <w:rPr>
                <w:b/>
                <w:bCs/>
              </w:rPr>
              <w:t>5</w:t>
            </w:r>
            <w:r>
              <w:rPr>
                <w:rFonts w:ascii="宋体" w:hAnsi="宋体" w:hint="eastAsia"/>
                <w:b/>
                <w:bCs/>
              </w:rPr>
              <w:t>分）</w:t>
            </w:r>
          </w:p>
          <w:p w:rsidR="00342F1B" w:rsidRDefault="00342F1B">
            <w:pPr>
              <w:jc w:val="left"/>
              <w:rPr>
                <w:rFonts w:ascii="宋体" w:hAnsi="宋体" w:hint="eastAsia"/>
              </w:rPr>
            </w:pPr>
            <w:r>
              <w:rPr>
                <w:rFonts w:ascii="宋体" w:hAnsi="宋体" w:hint="eastAsia"/>
              </w:rPr>
              <w:t>评审标准：</w:t>
            </w:r>
          </w:p>
          <w:p w:rsidR="00342F1B" w:rsidRDefault="00342F1B">
            <w:pPr>
              <w:jc w:val="left"/>
              <w:rPr>
                <w:rFonts w:ascii="宋体" w:hAnsi="宋体" w:hint="eastAsia"/>
              </w:rPr>
            </w:pPr>
            <w:r>
              <w:rPr>
                <w:rFonts w:ascii="宋体" w:hAnsi="宋体" w:hint="eastAsia"/>
              </w:rPr>
              <w:t>每有一项有效业绩，得</w:t>
            </w:r>
            <w:r>
              <w:rPr>
                <w:rFonts w:ascii="宋体" w:hAnsi="宋体" w:hint="eastAsia"/>
                <w:u w:val="single"/>
              </w:rPr>
              <w:t xml:space="preserve"> 1 </w:t>
            </w:r>
            <w:r>
              <w:rPr>
                <w:rFonts w:ascii="宋体" w:hAnsi="宋体" w:hint="eastAsia"/>
              </w:rPr>
              <w:t>分；以此类推。不提供或者不能有效证明的，得0分。</w:t>
            </w:r>
          </w:p>
          <w:p w:rsidR="00342F1B" w:rsidRDefault="00342F1B">
            <w:pPr>
              <w:jc w:val="left"/>
              <w:rPr>
                <w:rFonts w:ascii="宋体" w:hAnsi="宋体" w:hint="eastAsia"/>
              </w:rPr>
            </w:pPr>
            <w:r>
              <w:rPr>
                <w:rFonts w:ascii="宋体" w:hAnsi="宋体" w:hint="eastAsia"/>
              </w:rPr>
              <w:t>有效业绩定义：（同时满足以下全部要求同类业绩才属于有效业绩）</w:t>
            </w:r>
          </w:p>
          <w:p w:rsidR="00342F1B" w:rsidRDefault="00342F1B">
            <w:pPr>
              <w:jc w:val="left"/>
              <w:rPr>
                <w:rFonts w:ascii="宋体" w:hAnsi="宋体" w:hint="eastAsia"/>
              </w:rPr>
            </w:pPr>
            <w:r>
              <w:rPr>
                <w:rFonts w:ascii="宋体" w:hAnsi="宋体" w:hint="eastAsia"/>
              </w:rPr>
              <w:t>(1) 同类业绩指：副省级及以上城市政府部门网络信息安全服务经验的信息安全服务项目；</w:t>
            </w:r>
          </w:p>
          <w:p w:rsidR="00342F1B" w:rsidRDefault="00342F1B">
            <w:pPr>
              <w:jc w:val="left"/>
              <w:rPr>
                <w:rFonts w:ascii="宋体" w:hAnsi="宋体" w:hint="eastAsia"/>
              </w:rPr>
            </w:pPr>
            <w:r>
              <w:rPr>
                <w:rFonts w:ascii="宋体" w:hAnsi="宋体" w:hint="eastAsia"/>
              </w:rPr>
              <w:t>(2) 业绩内容为：信息安全服务和网络安全服务（</w:t>
            </w:r>
            <w:proofErr w:type="gramStart"/>
            <w:r>
              <w:rPr>
                <w:rFonts w:ascii="宋体" w:hAnsi="宋体" w:hint="eastAsia"/>
              </w:rPr>
              <w:t>含信息</w:t>
            </w:r>
            <w:proofErr w:type="gramEnd"/>
            <w:r>
              <w:rPr>
                <w:rFonts w:ascii="宋体" w:hAnsi="宋体" w:hint="eastAsia"/>
              </w:rPr>
              <w:t>安全风险评估、信息安全等级保护、安全检测服务、安全应急服务、信息安全联合检查服务等）；</w:t>
            </w:r>
          </w:p>
          <w:p w:rsidR="00342F1B" w:rsidRDefault="00342F1B">
            <w:pPr>
              <w:jc w:val="left"/>
              <w:rPr>
                <w:rFonts w:ascii="宋体" w:hAnsi="宋体" w:hint="eastAsia"/>
              </w:rPr>
            </w:pPr>
            <w:r>
              <w:rPr>
                <w:rFonts w:ascii="宋体" w:hAnsi="宋体" w:hint="eastAsia"/>
              </w:rPr>
              <w:t>(3) 合同签订时间为2017年3月1日至投标截止时间前。</w:t>
            </w:r>
          </w:p>
          <w:p w:rsidR="00342F1B" w:rsidRDefault="00342F1B">
            <w:pPr>
              <w:jc w:val="left"/>
              <w:rPr>
                <w:rFonts w:ascii="宋体" w:hAnsi="宋体" w:hint="eastAsia"/>
              </w:rPr>
            </w:pPr>
          </w:p>
          <w:p w:rsidR="00342F1B" w:rsidRDefault="00342F1B">
            <w:pPr>
              <w:rPr>
                <w:rFonts w:ascii="宋体" w:hAnsi="宋体"/>
                <w:kern w:val="0"/>
                <w:szCs w:val="21"/>
              </w:rPr>
            </w:pPr>
            <w:r>
              <w:rPr>
                <w:rFonts w:ascii="宋体" w:hAnsi="宋体" w:hint="eastAsia"/>
                <w:b/>
                <w:bCs/>
                <w:kern w:val="0"/>
              </w:rPr>
              <w:t>注</w:t>
            </w:r>
            <w:r>
              <w:rPr>
                <w:rFonts w:ascii="宋体" w:hAnsi="宋体" w:hint="eastAsia"/>
              </w:rPr>
              <w:t>：提供合同关键页复印件加盖投标人公章</w:t>
            </w:r>
            <w:r>
              <w:t xml:space="preserve">, </w:t>
            </w:r>
            <w:r>
              <w:rPr>
                <w:rFonts w:ascii="宋体" w:hAnsi="宋体" w:hint="eastAsia"/>
              </w:rPr>
              <w:t>原件备查；不提供，不得分。</w:t>
            </w:r>
          </w:p>
        </w:tc>
      </w:tr>
      <w:tr w:rsidR="00342F1B" w:rsidTr="00342F1B">
        <w:trPr>
          <w:trHeight w:val="523"/>
        </w:trPr>
        <w:tc>
          <w:tcPr>
            <w:tcW w:w="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2F1B" w:rsidRDefault="00342F1B">
            <w:pPr>
              <w:jc w:val="center"/>
              <w:rPr>
                <w:rFonts w:ascii="宋体" w:hAnsi="宋体"/>
                <w:color w:val="000000"/>
                <w:szCs w:val="21"/>
              </w:rPr>
            </w:pPr>
            <w:r>
              <w:rPr>
                <w:rFonts w:ascii="宋体" w:hAnsi="宋体" w:hint="eastAsia"/>
                <w:color w:val="000000"/>
              </w:rPr>
              <w:t>四</w:t>
            </w:r>
          </w:p>
        </w:tc>
        <w:tc>
          <w:tcPr>
            <w:tcW w:w="12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jc w:val="center"/>
              <w:rPr>
                <w:rFonts w:ascii="宋体" w:hAnsi="宋体"/>
                <w:color w:val="000000"/>
                <w:szCs w:val="21"/>
              </w:rPr>
            </w:pPr>
            <w:r>
              <w:rPr>
                <w:rFonts w:ascii="宋体" w:hAnsi="宋体" w:hint="eastAsia"/>
                <w:color w:val="000000"/>
              </w:rPr>
              <w:t>诚信情况</w:t>
            </w:r>
          </w:p>
        </w:tc>
        <w:tc>
          <w:tcPr>
            <w:tcW w:w="6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jc w:val="center"/>
              <w:rPr>
                <w:rFonts w:ascii="宋体" w:hAnsi="宋体"/>
                <w:color w:val="000000"/>
                <w:szCs w:val="21"/>
              </w:rPr>
            </w:pPr>
            <w:r>
              <w:rPr>
                <w:rFonts w:ascii="宋体" w:hAnsi="宋体" w:hint="eastAsia"/>
                <w:color w:val="000000"/>
              </w:rPr>
              <w:t>5</w:t>
            </w:r>
          </w:p>
        </w:tc>
        <w:tc>
          <w:tcPr>
            <w:tcW w:w="60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42F1B" w:rsidRDefault="00342F1B">
            <w:pPr>
              <w:rPr>
                <w:b/>
                <w:bCs/>
                <w:szCs w:val="21"/>
              </w:rPr>
            </w:pPr>
            <w:r>
              <w:rPr>
                <w:rFonts w:ascii="宋体" w:hAnsi="宋体" w:hint="eastAsia"/>
                <w:b/>
                <w:bCs/>
              </w:rPr>
              <w:t>诚信情况（</w:t>
            </w:r>
            <w:r>
              <w:rPr>
                <w:b/>
                <w:bCs/>
              </w:rPr>
              <w:t>5</w:t>
            </w:r>
            <w:r>
              <w:rPr>
                <w:rFonts w:ascii="宋体" w:hAnsi="宋体" w:hint="eastAsia"/>
                <w:b/>
                <w:bCs/>
              </w:rPr>
              <w:t>分）</w:t>
            </w:r>
          </w:p>
          <w:p w:rsidR="00342F1B" w:rsidRDefault="00342F1B">
            <w:pPr>
              <w:rPr>
                <w:b/>
                <w:bCs/>
                <w:szCs w:val="21"/>
              </w:rPr>
            </w:pPr>
            <w:r>
              <w:rPr>
                <w:rFonts w:ascii="宋体" w:hAnsi="宋体" w:hint="eastAsia"/>
              </w:rPr>
              <w:t>根据《深圳市财政委员会关于印发〈深圳市政府采购供应商诚信管理暂行办法操作细则〉的通知》（深</w:t>
            </w:r>
            <w:proofErr w:type="gramStart"/>
            <w:r>
              <w:rPr>
                <w:rFonts w:ascii="宋体" w:hAnsi="宋体" w:hint="eastAsia"/>
              </w:rPr>
              <w:t>财购[</w:t>
            </w:r>
            <w:proofErr w:type="gramEnd"/>
            <w:r>
              <w:rPr>
                <w:rFonts w:ascii="宋体" w:hAnsi="宋体" w:hint="eastAsia"/>
              </w:rPr>
              <w:t>2017]42号）的要求，投标人在参与政府采购活动中存在诚信相关问题且在主管部门相关处理措施实施期限内的，本项不得分，否则得满分。投标人需提供诚信承诺书。</w:t>
            </w:r>
          </w:p>
        </w:tc>
      </w:tr>
    </w:tbl>
    <w:p w:rsidR="00342F1B" w:rsidRDefault="00342F1B" w:rsidP="00342F1B">
      <w:pPr>
        <w:spacing w:line="580" w:lineRule="exact"/>
        <w:rPr>
          <w:rFonts w:ascii="仿宋_GB2312" w:eastAsia="仿宋_GB2312" w:hAnsi="Times New Roman" w:hint="eastAsia"/>
          <w:sz w:val="32"/>
          <w:szCs w:val="32"/>
        </w:rPr>
      </w:pPr>
      <w:r>
        <w:rPr>
          <w:rFonts w:ascii="仿宋_GB2312" w:eastAsia="仿宋_GB2312" w:hint="eastAsia"/>
          <w:sz w:val="32"/>
          <w:szCs w:val="32"/>
        </w:rPr>
        <w:t xml:space="preserve"> </w:t>
      </w:r>
    </w:p>
    <w:p w:rsidR="00342F1B" w:rsidRDefault="00342F1B" w:rsidP="00342F1B">
      <w:pPr>
        <w:spacing w:line="580" w:lineRule="exact"/>
        <w:rPr>
          <w:rFonts w:ascii="仿宋_GB2312" w:eastAsia="仿宋_GB2312" w:hint="eastAsia"/>
          <w:sz w:val="32"/>
          <w:szCs w:val="32"/>
        </w:rPr>
      </w:pPr>
      <w:r>
        <w:rPr>
          <w:rFonts w:ascii="仿宋_GB2312" w:eastAsia="仿宋_GB2312" w:hint="eastAsia"/>
          <w:sz w:val="32"/>
          <w:szCs w:val="32"/>
        </w:rPr>
        <w:t xml:space="preserve"> </w:t>
      </w:r>
    </w:p>
    <w:p w:rsidR="00BE341A" w:rsidRDefault="00BE341A"/>
    <w:sectPr w:rsidR="00BE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1B"/>
    <w:rsid w:val="00342F1B"/>
    <w:rsid w:val="00BE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Company>P R C</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2020-04-20T02:45:00Z</dcterms:created>
  <dcterms:modified xsi:type="dcterms:W3CDTF">2020-04-20T02:45:00Z</dcterms:modified>
</cp:coreProperties>
</file>