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AEF" w:rsidRDefault="00B77AEF" w:rsidP="00B77AEF">
      <w:pPr>
        <w:rPr>
          <w:rFonts w:ascii="黑体" w:eastAsia="黑体" w:hAnsi="黑体"/>
          <w:sz w:val="32"/>
          <w:szCs w:val="32"/>
        </w:rPr>
      </w:pPr>
      <w:r>
        <w:rPr>
          <w:rFonts w:ascii="黑体" w:eastAsia="黑体" w:hAnsi="黑体" w:hint="eastAsia"/>
          <w:sz w:val="32"/>
          <w:szCs w:val="32"/>
        </w:rPr>
        <w:t>附件：</w:t>
      </w:r>
    </w:p>
    <w:p w:rsidR="00B77AEF" w:rsidRDefault="00B77AEF" w:rsidP="00B77AEF">
      <w:pPr>
        <w:jc w:val="center"/>
        <w:rPr>
          <w:rFonts w:ascii="宋体" w:hAnsi="宋体" w:hint="eastAsia"/>
          <w:b/>
          <w:bCs/>
          <w:sz w:val="44"/>
          <w:szCs w:val="44"/>
        </w:rPr>
      </w:pPr>
      <w:bookmarkStart w:id="0" w:name="_GoBack"/>
      <w:r>
        <w:rPr>
          <w:rFonts w:ascii="宋体" w:hAnsi="宋体" w:hint="eastAsia"/>
          <w:b/>
          <w:bCs/>
          <w:sz w:val="44"/>
          <w:szCs w:val="44"/>
        </w:rPr>
        <w:t>评分表</w:t>
      </w:r>
    </w:p>
    <w:bookmarkEnd w:id="0"/>
    <w:p w:rsidR="00B77AEF" w:rsidRDefault="00B77AEF" w:rsidP="00B77AEF">
      <w:pPr>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综合得分总分为100分，其中：商务35分、技术45分、价格20分。</w:t>
      </w:r>
    </w:p>
    <w:p w:rsidR="00B77AEF" w:rsidRDefault="00B77AEF" w:rsidP="00B77AEF">
      <w:pPr>
        <w:autoSpaceDE w:val="0"/>
        <w:autoSpaceDN w:val="0"/>
        <w:adjustRightInd w:val="0"/>
        <w:rPr>
          <w:rFonts w:ascii="仿宋_GB2312" w:eastAsia="仿宋_GB2312" w:hAnsi="宋体" w:cs="??_GB2312" w:hint="eastAsia"/>
          <w:b/>
          <w:bCs/>
          <w:color w:val="000000"/>
          <w:kern w:val="0"/>
          <w:sz w:val="28"/>
          <w:szCs w:val="28"/>
        </w:rPr>
      </w:pPr>
      <w:r>
        <w:rPr>
          <w:rFonts w:ascii="仿宋_GB2312" w:eastAsia="仿宋_GB2312" w:hAnsi="宋体" w:cs="??_GB2312" w:hint="eastAsia"/>
          <w:b/>
          <w:bCs/>
          <w:color w:val="000000"/>
          <w:kern w:val="0"/>
          <w:sz w:val="28"/>
          <w:szCs w:val="28"/>
        </w:rPr>
        <w:t>1</w:t>
      </w:r>
      <w:r>
        <w:rPr>
          <w:rFonts w:ascii="仿宋_GB2312" w:eastAsia="仿宋_GB2312" w:hAnsi="宋体" w:cs="宋体" w:hint="eastAsia"/>
          <w:b/>
          <w:bCs/>
          <w:color w:val="000000"/>
          <w:kern w:val="0"/>
          <w:sz w:val="28"/>
          <w:szCs w:val="28"/>
        </w:rPr>
        <w:t>、《商务评议指标表》</w:t>
      </w:r>
      <w:r>
        <w:rPr>
          <w:rFonts w:ascii="仿宋_GB2312" w:eastAsia="仿宋_GB2312" w:hAnsi="宋体" w:cs="宋体" w:hint="eastAsia"/>
          <w:color w:val="000000"/>
          <w:kern w:val="0"/>
          <w:sz w:val="28"/>
          <w:szCs w:val="28"/>
        </w:rPr>
        <w:t xml:space="preserve"> </w:t>
      </w:r>
      <w:r>
        <w:rPr>
          <w:rFonts w:ascii="仿宋_GB2312" w:eastAsia="仿宋_GB2312" w:hAnsi="宋体" w:cs="??_GB2312" w:hint="eastAsia"/>
          <w:b/>
          <w:bCs/>
          <w:color w:val="000000"/>
          <w:kern w:val="0"/>
          <w:sz w:val="28"/>
          <w:szCs w:val="28"/>
        </w:rPr>
        <w:t xml:space="preserve">[ </w:t>
      </w:r>
      <w:r>
        <w:rPr>
          <w:rFonts w:ascii="仿宋_GB2312" w:eastAsia="仿宋_GB2312" w:hAnsi="宋体" w:cs="宋体" w:hint="eastAsia"/>
          <w:b/>
          <w:bCs/>
          <w:color w:val="000000"/>
          <w:kern w:val="0"/>
          <w:sz w:val="28"/>
          <w:szCs w:val="28"/>
        </w:rPr>
        <w:t>分值：</w:t>
      </w:r>
      <w:r>
        <w:rPr>
          <w:rFonts w:ascii="仿宋_GB2312" w:eastAsia="仿宋_GB2312" w:hAnsi="宋体" w:cs="??_GB2312" w:hint="eastAsia"/>
          <w:b/>
          <w:bCs/>
          <w:color w:val="000000"/>
          <w:kern w:val="0"/>
          <w:sz w:val="28"/>
          <w:szCs w:val="28"/>
        </w:rPr>
        <w:t>35</w:t>
      </w:r>
      <w:r>
        <w:rPr>
          <w:rFonts w:ascii="仿宋_GB2312" w:eastAsia="仿宋_GB2312" w:hAnsi="宋体" w:cs="宋体" w:hint="eastAsia"/>
          <w:b/>
          <w:bCs/>
          <w:color w:val="000000"/>
          <w:kern w:val="0"/>
          <w:sz w:val="28"/>
          <w:szCs w:val="28"/>
        </w:rPr>
        <w:t>分</w:t>
      </w:r>
      <w:r>
        <w:rPr>
          <w:rFonts w:ascii="仿宋_GB2312" w:eastAsia="仿宋_GB2312" w:hAnsi="宋体" w:cs="??_GB2312" w:hint="eastAsia"/>
          <w:b/>
          <w:bCs/>
          <w:color w:val="000000"/>
          <w:kern w:val="0"/>
          <w:sz w:val="28"/>
          <w:szCs w:val="28"/>
        </w:rPr>
        <w:t xml:space="preserve"> ]</w:t>
      </w:r>
    </w:p>
    <w:tbl>
      <w:tblPr>
        <w:tblW w:w="10111" w:type="dxa"/>
        <w:jc w:val="center"/>
        <w:tblLayout w:type="fixed"/>
        <w:tblLook w:val="04A0" w:firstRow="1" w:lastRow="0" w:firstColumn="1" w:lastColumn="0" w:noHBand="0" w:noVBand="1"/>
      </w:tblPr>
      <w:tblGrid>
        <w:gridCol w:w="758"/>
        <w:gridCol w:w="1837"/>
        <w:gridCol w:w="6527"/>
        <w:gridCol w:w="989"/>
      </w:tblGrid>
      <w:tr w:rsidR="00B77AEF" w:rsidTr="00B77AEF">
        <w:trPr>
          <w:trHeight w:val="327"/>
          <w:jc w:val="center"/>
        </w:trPr>
        <w:tc>
          <w:tcPr>
            <w:tcW w:w="75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序号</w:t>
            </w:r>
          </w:p>
        </w:tc>
        <w:tc>
          <w:tcPr>
            <w:tcW w:w="1837" w:type="dxa"/>
            <w:tcBorders>
              <w:top w:val="single" w:sz="2" w:space="0" w:color="000000"/>
              <w:left w:val="nil"/>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评审项目</w:t>
            </w:r>
          </w:p>
        </w:tc>
        <w:tc>
          <w:tcPr>
            <w:tcW w:w="6527" w:type="dxa"/>
            <w:tcBorders>
              <w:top w:val="single" w:sz="2" w:space="0" w:color="000000"/>
              <w:left w:val="nil"/>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评审内容</w:t>
            </w:r>
          </w:p>
        </w:tc>
        <w:tc>
          <w:tcPr>
            <w:tcW w:w="989" w:type="dxa"/>
            <w:tcBorders>
              <w:top w:val="single" w:sz="2" w:space="0" w:color="000000"/>
              <w:left w:val="nil"/>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分值</w:t>
            </w:r>
          </w:p>
        </w:tc>
      </w:tr>
      <w:tr w:rsidR="00B77AEF" w:rsidTr="00B77AEF">
        <w:trPr>
          <w:trHeight w:val="327"/>
          <w:jc w:val="center"/>
        </w:trPr>
        <w:tc>
          <w:tcPr>
            <w:tcW w:w="75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1837" w:type="dxa"/>
            <w:tcBorders>
              <w:top w:val="single" w:sz="2" w:space="0" w:color="000000"/>
              <w:left w:val="nil"/>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相关认证</w:t>
            </w:r>
          </w:p>
        </w:tc>
        <w:tc>
          <w:tcPr>
            <w:tcW w:w="6527" w:type="dxa"/>
            <w:tcBorders>
              <w:top w:val="single" w:sz="2" w:space="0" w:color="000000"/>
              <w:left w:val="nil"/>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1．通过ISO9001质量管理体系认证、ISO20000信息技术服务管理体系认证、ISO27001信息安全管理体系认证且认证证书在有效期内的每一个证书得1分；</w:t>
            </w:r>
          </w:p>
          <w:p w:rsidR="00B77AEF" w:rsidRDefault="00B77AEF">
            <w:pPr>
              <w:autoSpaceDE w:val="0"/>
              <w:autoSpaceDN w:val="0"/>
              <w:adjustRightInd w:val="0"/>
              <w:spacing w:line="360" w:lineRule="auto"/>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2.具有“守合同重信用”企业证书得2分；</w:t>
            </w:r>
          </w:p>
          <w:p w:rsidR="00B77AEF" w:rsidRDefault="00B77AEF">
            <w:pPr>
              <w:autoSpaceDE w:val="0"/>
              <w:autoSpaceDN w:val="0"/>
              <w:adjustRightInd w:val="0"/>
              <w:spacing w:line="360" w:lineRule="auto"/>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3．具有信息技术服务运行维护标准证书得2分；</w:t>
            </w:r>
          </w:p>
          <w:p w:rsidR="00B77AEF" w:rsidRDefault="00B77AEF">
            <w:pPr>
              <w:autoSpaceDE w:val="0"/>
              <w:autoSpaceDN w:val="0"/>
              <w:adjustRightInd w:val="0"/>
              <w:spacing w:line="360" w:lineRule="auto"/>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4. 具有国家级高新技术企业证书得1分；</w:t>
            </w:r>
          </w:p>
          <w:p w:rsidR="00B77AEF" w:rsidRDefault="00B77AEF">
            <w:pPr>
              <w:autoSpaceDE w:val="0"/>
              <w:autoSpaceDN w:val="0"/>
              <w:adjustRightInd w:val="0"/>
              <w:spacing w:line="360" w:lineRule="auto"/>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5.具有CMMI3级及以上认证的得1分；</w:t>
            </w:r>
          </w:p>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提供相关有效证书复印件，未提供或所提供的证明材料无法判断是否符合得分条件的不计分。</w:t>
            </w:r>
          </w:p>
        </w:tc>
        <w:tc>
          <w:tcPr>
            <w:tcW w:w="989" w:type="dxa"/>
            <w:tcBorders>
              <w:top w:val="single" w:sz="2" w:space="0" w:color="000000"/>
              <w:left w:val="nil"/>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9</w:t>
            </w:r>
          </w:p>
        </w:tc>
      </w:tr>
      <w:tr w:rsidR="00B77AEF" w:rsidTr="00B77AEF">
        <w:trPr>
          <w:trHeight w:val="327"/>
          <w:jc w:val="center"/>
        </w:trPr>
        <w:tc>
          <w:tcPr>
            <w:tcW w:w="75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1837" w:type="dxa"/>
            <w:tcBorders>
              <w:top w:val="single" w:sz="2" w:space="0" w:color="000000"/>
              <w:left w:val="nil"/>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拟安排的项目负责人情况（仅限一人）</w:t>
            </w:r>
          </w:p>
        </w:tc>
        <w:tc>
          <w:tcPr>
            <w:tcW w:w="6527" w:type="dxa"/>
            <w:tcBorders>
              <w:top w:val="single" w:sz="2" w:space="0" w:color="000000"/>
              <w:left w:val="nil"/>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1. 具有高级信息系统项目管理师证书（人力资源和社会保障部或工业和信息化部批准颁发）得3分；具有ITIL证书得3分；需提供证书复印件，未提供或所提供的证明材料无法判断是否符合得分条件的不计分。</w:t>
            </w:r>
          </w:p>
          <w:p w:rsidR="00B77AEF" w:rsidRDefault="00B77AEF">
            <w:pPr>
              <w:autoSpaceDE w:val="0"/>
              <w:autoSpaceDN w:val="0"/>
              <w:adjustRightInd w:val="0"/>
              <w:spacing w:line="360" w:lineRule="auto"/>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 具有5年以上工作经验且同时具有软件工程、计算机相关专业硕士及以上学历的得2分，本科得1分，其</w:t>
            </w:r>
            <w:r>
              <w:rPr>
                <w:rFonts w:ascii="仿宋_GB2312" w:eastAsia="仿宋_GB2312" w:hAnsi="宋体" w:cs="宋体" w:hint="eastAsia"/>
                <w:kern w:val="0"/>
                <w:sz w:val="28"/>
                <w:szCs w:val="28"/>
              </w:rPr>
              <w:lastRenderedPageBreak/>
              <w:t>余不得分，工作经验以学历证书毕业日期为准。需提供相关学历证明，未提供或所提供的证明材料无法判断是否符合得分条件的不计分。</w:t>
            </w:r>
          </w:p>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注：本项须提供项目负责人开标前3个月在投标单位缴纳的</w:t>
            </w:r>
            <w:proofErr w:type="gramStart"/>
            <w:r>
              <w:rPr>
                <w:rFonts w:ascii="仿宋_GB2312" w:eastAsia="仿宋_GB2312" w:hAnsi="宋体" w:cs="宋体" w:hint="eastAsia"/>
                <w:kern w:val="0"/>
                <w:sz w:val="28"/>
                <w:szCs w:val="28"/>
              </w:rPr>
              <w:t>社保证明</w:t>
            </w:r>
            <w:proofErr w:type="gramEnd"/>
            <w:r>
              <w:rPr>
                <w:rFonts w:ascii="仿宋_GB2312" w:eastAsia="仿宋_GB2312" w:hAnsi="宋体" w:cs="宋体" w:hint="eastAsia"/>
                <w:kern w:val="0"/>
                <w:sz w:val="28"/>
                <w:szCs w:val="28"/>
              </w:rPr>
              <w:t>材料（必须至少包含养老、医疗和工伤，补缴的社保不予计算；网页截图或窗口打印资料或社保部门出具的证明均可），未提供本项不得分。</w:t>
            </w:r>
          </w:p>
        </w:tc>
        <w:tc>
          <w:tcPr>
            <w:tcW w:w="989" w:type="dxa"/>
            <w:tcBorders>
              <w:top w:val="single" w:sz="2" w:space="0" w:color="000000"/>
              <w:left w:val="nil"/>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8</w:t>
            </w:r>
          </w:p>
        </w:tc>
      </w:tr>
      <w:tr w:rsidR="00B77AEF" w:rsidTr="00B77AEF">
        <w:trPr>
          <w:trHeight w:val="327"/>
          <w:jc w:val="center"/>
        </w:trPr>
        <w:tc>
          <w:tcPr>
            <w:tcW w:w="75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3</w:t>
            </w:r>
          </w:p>
        </w:tc>
        <w:tc>
          <w:tcPr>
            <w:tcW w:w="1837" w:type="dxa"/>
            <w:tcBorders>
              <w:top w:val="single" w:sz="2" w:space="0" w:color="000000"/>
              <w:left w:val="nil"/>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拟安排的项目团队成员（主要技术人员）情况（项目负责人除外）</w:t>
            </w:r>
          </w:p>
        </w:tc>
        <w:tc>
          <w:tcPr>
            <w:tcW w:w="6527" w:type="dxa"/>
            <w:tcBorders>
              <w:top w:val="single" w:sz="2" w:space="0" w:color="000000"/>
              <w:left w:val="nil"/>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项目成员具有信息系统项目管理师证书（人力资源和社会保障部、工业和信息化部批准颁发）或PMP证书，每一人得2分，最高得4分；具有软件工程师证书的，每一人得1分，最高得2分；具有OCP证书的，每一人得1分，最高得2分。同一人具有多个证书的，不重复计分。需提供证书复印件，未提供或所提供的证明材料无法判断是否符合得分条件的不计分。</w:t>
            </w:r>
          </w:p>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注：本项须提供项目成员开标前3个月在投标单位缴纳的</w:t>
            </w:r>
            <w:proofErr w:type="gramStart"/>
            <w:r>
              <w:rPr>
                <w:rFonts w:ascii="仿宋_GB2312" w:eastAsia="仿宋_GB2312" w:hAnsi="宋体" w:cs="宋体" w:hint="eastAsia"/>
                <w:kern w:val="0"/>
                <w:sz w:val="28"/>
                <w:szCs w:val="28"/>
              </w:rPr>
              <w:t>社保证明</w:t>
            </w:r>
            <w:proofErr w:type="gramEnd"/>
            <w:r>
              <w:rPr>
                <w:rFonts w:ascii="仿宋_GB2312" w:eastAsia="仿宋_GB2312" w:hAnsi="宋体" w:cs="宋体" w:hint="eastAsia"/>
                <w:kern w:val="0"/>
                <w:sz w:val="28"/>
                <w:szCs w:val="28"/>
              </w:rPr>
              <w:t>材料（必须至少包含养老、医疗，补缴的社保不予计算；网页截图或窗口打印资料或社保部门出具的证明均可），未提供本项不得分。</w:t>
            </w:r>
          </w:p>
        </w:tc>
        <w:tc>
          <w:tcPr>
            <w:tcW w:w="989" w:type="dxa"/>
            <w:tcBorders>
              <w:top w:val="single" w:sz="2" w:space="0" w:color="000000"/>
              <w:left w:val="nil"/>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8</w:t>
            </w:r>
          </w:p>
        </w:tc>
      </w:tr>
      <w:tr w:rsidR="00B77AEF" w:rsidTr="00B77AEF">
        <w:trPr>
          <w:trHeight w:val="327"/>
          <w:jc w:val="center"/>
        </w:trPr>
        <w:tc>
          <w:tcPr>
            <w:tcW w:w="75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w:t>
            </w:r>
          </w:p>
        </w:tc>
        <w:tc>
          <w:tcPr>
            <w:tcW w:w="1837" w:type="dxa"/>
            <w:tcBorders>
              <w:top w:val="single" w:sz="2" w:space="0" w:color="000000"/>
              <w:left w:val="nil"/>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投标人自主知识产权产品（创新、设计）情况</w:t>
            </w:r>
          </w:p>
        </w:tc>
        <w:tc>
          <w:tcPr>
            <w:tcW w:w="6527" w:type="dxa"/>
            <w:tcBorders>
              <w:top w:val="single" w:sz="2" w:space="0" w:color="000000"/>
              <w:left w:val="nil"/>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1.具</w:t>
            </w:r>
            <w:r>
              <w:rPr>
                <w:rFonts w:ascii="仿宋_GB2312" w:eastAsia="仿宋_GB2312" w:hAnsi="宋体" w:cs="宋体" w:hint="eastAsia"/>
                <w:kern w:val="0"/>
                <w:sz w:val="28"/>
                <w:szCs w:val="28"/>
              </w:rPr>
              <w:t>有大数据决策平台相关软件著作权登记证书</w:t>
            </w:r>
            <w:r>
              <w:rPr>
                <w:rFonts w:ascii="仿宋_GB2312" w:eastAsia="仿宋_GB2312" w:hAnsi="宋体" w:cs="宋体" w:hint="eastAsia"/>
                <w:color w:val="000000"/>
                <w:kern w:val="0"/>
                <w:sz w:val="28"/>
                <w:szCs w:val="28"/>
              </w:rPr>
              <w:t>的得2分；</w:t>
            </w:r>
          </w:p>
          <w:p w:rsidR="00B77AEF" w:rsidRDefault="00B77AEF">
            <w:pPr>
              <w:autoSpaceDE w:val="0"/>
              <w:autoSpaceDN w:val="0"/>
              <w:adjustRightInd w:val="0"/>
              <w:spacing w:line="360" w:lineRule="auto"/>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2.具有高可用数据库集群相关软件著作权登记证书的得2分。</w:t>
            </w:r>
          </w:p>
          <w:p w:rsidR="00B77AEF" w:rsidRDefault="00B77AEF">
            <w:pPr>
              <w:autoSpaceDE w:val="0"/>
              <w:autoSpaceDN w:val="0"/>
              <w:adjustRightInd w:val="0"/>
              <w:spacing w:line="360" w:lineRule="auto"/>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3．具</w:t>
            </w:r>
            <w:r>
              <w:rPr>
                <w:rFonts w:ascii="仿宋_GB2312" w:eastAsia="仿宋_GB2312" w:hAnsi="宋体" w:cs="宋体" w:hint="eastAsia"/>
                <w:color w:val="000000"/>
                <w:kern w:val="0"/>
                <w:sz w:val="28"/>
                <w:szCs w:val="28"/>
              </w:rPr>
              <w:t>有民政服务机构管理系统相关</w:t>
            </w:r>
            <w:r>
              <w:rPr>
                <w:rFonts w:ascii="仿宋_GB2312" w:eastAsia="仿宋_GB2312" w:hAnsi="宋体" w:cs="宋体" w:hint="eastAsia"/>
                <w:kern w:val="0"/>
                <w:sz w:val="28"/>
                <w:szCs w:val="28"/>
              </w:rPr>
              <w:t>软件著作权登记证书的得2分</w:t>
            </w:r>
          </w:p>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需提供有效的证书复印件，未提供或所提供的证明材料无法判断是否符合得分条件的不计分。</w:t>
            </w:r>
          </w:p>
        </w:tc>
        <w:tc>
          <w:tcPr>
            <w:tcW w:w="989" w:type="dxa"/>
            <w:tcBorders>
              <w:top w:val="single" w:sz="2" w:space="0" w:color="000000"/>
              <w:left w:val="nil"/>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6</w:t>
            </w:r>
          </w:p>
        </w:tc>
      </w:tr>
      <w:tr w:rsidR="00B77AEF" w:rsidTr="00B77AEF">
        <w:trPr>
          <w:trHeight w:val="327"/>
          <w:jc w:val="center"/>
        </w:trPr>
        <w:tc>
          <w:tcPr>
            <w:tcW w:w="75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5</w:t>
            </w:r>
          </w:p>
        </w:tc>
        <w:tc>
          <w:tcPr>
            <w:tcW w:w="1837" w:type="dxa"/>
            <w:tcBorders>
              <w:top w:val="single" w:sz="2" w:space="0" w:color="000000"/>
              <w:left w:val="nil"/>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成功案例</w:t>
            </w:r>
          </w:p>
        </w:tc>
        <w:tc>
          <w:tcPr>
            <w:tcW w:w="6527" w:type="dxa"/>
            <w:tcBorders>
              <w:top w:val="single" w:sz="2" w:space="0" w:color="000000"/>
              <w:left w:val="nil"/>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2016年以来（自合同签订日期为准）完成的民政服务机构安全管理平台相关开发案例的，每提供一个案例得2分，最高得4分。</w:t>
            </w:r>
          </w:p>
          <w:p w:rsidR="00B77AEF" w:rsidRDefault="00B77AEF">
            <w:pPr>
              <w:autoSpaceDE w:val="0"/>
              <w:autoSpaceDN w:val="0"/>
              <w:adjustRightInd w:val="0"/>
              <w:spacing w:line="360" w:lineRule="auto"/>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需提供合同关键页及盖章页复印件，未提供</w:t>
            </w:r>
            <w:r>
              <w:rPr>
                <w:rFonts w:ascii="仿宋_GB2312" w:eastAsia="仿宋_GB2312" w:hAnsi="宋体" w:cs="宋体" w:hint="eastAsia"/>
                <w:kern w:val="0"/>
                <w:sz w:val="28"/>
                <w:szCs w:val="28"/>
              </w:rPr>
              <w:t>或所提供的证明材料无法判断是否符合得分条件的不计分。</w:t>
            </w:r>
          </w:p>
        </w:tc>
        <w:tc>
          <w:tcPr>
            <w:tcW w:w="989" w:type="dxa"/>
            <w:tcBorders>
              <w:top w:val="single" w:sz="2" w:space="0" w:color="000000"/>
              <w:left w:val="nil"/>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w:t>
            </w:r>
          </w:p>
        </w:tc>
      </w:tr>
      <w:tr w:rsidR="00B77AEF" w:rsidTr="00B77AEF">
        <w:trPr>
          <w:trHeight w:val="443"/>
          <w:jc w:val="center"/>
        </w:trPr>
        <w:tc>
          <w:tcPr>
            <w:tcW w:w="9122"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合计</w:t>
            </w:r>
          </w:p>
        </w:tc>
        <w:tc>
          <w:tcPr>
            <w:tcW w:w="989" w:type="dxa"/>
            <w:tcBorders>
              <w:top w:val="single" w:sz="2" w:space="0" w:color="000000"/>
              <w:left w:val="nil"/>
              <w:bottom w:val="single" w:sz="2" w:space="0" w:color="000000"/>
              <w:right w:val="single" w:sz="2" w:space="0" w:color="000000"/>
            </w:tcBorders>
            <w:shd w:val="clear" w:color="auto" w:fill="FFFFFF"/>
            <w:vAlign w:val="center"/>
            <w:hideMark/>
          </w:tcPr>
          <w:p w:rsidR="00B77AEF" w:rsidRDefault="00B77AEF">
            <w:pPr>
              <w:autoSpaceDE w:val="0"/>
              <w:autoSpaceDN w:val="0"/>
              <w:adjustRightInd w:val="0"/>
              <w:spacing w:line="36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35</w:t>
            </w:r>
          </w:p>
        </w:tc>
      </w:tr>
    </w:tbl>
    <w:p w:rsidR="00B77AEF" w:rsidRDefault="00B77AEF" w:rsidP="00B77AEF">
      <w:pPr>
        <w:rPr>
          <w:rStyle w:val="15"/>
          <w:rFonts w:ascii="仿宋_GB2312" w:eastAsia="仿宋_GB2312"/>
          <w:sz w:val="28"/>
          <w:szCs w:val="28"/>
        </w:rPr>
      </w:pPr>
      <w:r>
        <w:rPr>
          <w:rStyle w:val="15"/>
          <w:rFonts w:ascii="仿宋_GB2312" w:eastAsia="仿宋_GB2312" w:hint="default"/>
          <w:sz w:val="28"/>
          <w:szCs w:val="28"/>
        </w:rPr>
        <w:t xml:space="preserve"> </w:t>
      </w:r>
    </w:p>
    <w:p w:rsidR="00B77AEF" w:rsidRDefault="00B77AEF" w:rsidP="00B77AEF">
      <w:r>
        <w:rPr>
          <w:rStyle w:val="15"/>
          <w:rFonts w:ascii="仿宋_GB2312" w:eastAsia="仿宋_GB2312" w:hint="default"/>
          <w:sz w:val="28"/>
          <w:szCs w:val="28"/>
        </w:rPr>
        <w:t>2.《技术评议指标表》</w:t>
      </w:r>
      <w:r>
        <w:rPr>
          <w:rFonts w:ascii="仿宋_GB2312" w:eastAsia="仿宋_GB2312" w:hAnsi="宋体" w:hint="eastAsia"/>
          <w:b/>
          <w:bCs/>
          <w:sz w:val="28"/>
          <w:szCs w:val="28"/>
        </w:rPr>
        <w:t>[ 分值：45分 ]</w:t>
      </w:r>
    </w:p>
    <w:tbl>
      <w:tblPr>
        <w:tblW w:w="10065" w:type="dxa"/>
        <w:tblInd w:w="-743" w:type="dxa"/>
        <w:tblBorders>
          <w:top w:val="outset" w:sz="6" w:space="0" w:color="DDDDDD"/>
          <w:left w:val="outset" w:sz="6" w:space="0" w:color="DDDDDD"/>
          <w:bottom w:val="outset" w:sz="6" w:space="0" w:color="DDDDDD"/>
          <w:right w:val="outset" w:sz="6" w:space="0" w:color="DDDDDD"/>
          <w:insideH w:val="outset" w:sz="6" w:space="0" w:color="DDDDDD"/>
          <w:insideV w:val="outset" w:sz="6" w:space="0" w:color="DDDDDD"/>
        </w:tblBorders>
        <w:tblLayout w:type="fixed"/>
        <w:tblLook w:val="04A0" w:firstRow="1" w:lastRow="0" w:firstColumn="1" w:lastColumn="0" w:noHBand="0" w:noVBand="1"/>
      </w:tblPr>
      <w:tblGrid>
        <w:gridCol w:w="709"/>
        <w:gridCol w:w="2261"/>
        <w:gridCol w:w="6103"/>
        <w:gridCol w:w="992"/>
      </w:tblGrid>
      <w:tr w:rsidR="00B77AEF" w:rsidTr="00B77AEF">
        <w:trPr>
          <w:trHeight w:val="526"/>
        </w:trPr>
        <w:tc>
          <w:tcPr>
            <w:tcW w:w="709" w:type="dxa"/>
            <w:tcBorders>
              <w:top w:val="inset" w:sz="6" w:space="0" w:color="DDDDDD"/>
              <w:left w:val="inset" w:sz="6" w:space="0" w:color="DDDDDD"/>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序号</w:t>
            </w:r>
          </w:p>
        </w:tc>
        <w:tc>
          <w:tcPr>
            <w:tcW w:w="2261"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评审项目</w:t>
            </w:r>
          </w:p>
        </w:tc>
        <w:tc>
          <w:tcPr>
            <w:tcW w:w="6103"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评审内容</w:t>
            </w:r>
          </w:p>
        </w:tc>
        <w:tc>
          <w:tcPr>
            <w:tcW w:w="992"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分值</w:t>
            </w:r>
          </w:p>
        </w:tc>
      </w:tr>
      <w:tr w:rsidR="00B77AEF" w:rsidTr="00B77AEF">
        <w:trPr>
          <w:trHeight w:val="526"/>
        </w:trPr>
        <w:tc>
          <w:tcPr>
            <w:tcW w:w="709" w:type="dxa"/>
            <w:tcBorders>
              <w:top w:val="inset" w:sz="6" w:space="0" w:color="DDDDDD"/>
              <w:left w:val="inset" w:sz="6" w:space="0" w:color="DDDDDD"/>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center"/>
              <w:rPr>
                <w:rFonts w:ascii="仿宋_GB2312" w:eastAsia="仿宋_GB2312" w:hAnsi="宋体" w:cs="宋体"/>
                <w:b/>
                <w:bCs/>
                <w:kern w:val="0"/>
                <w:sz w:val="28"/>
                <w:szCs w:val="28"/>
              </w:rPr>
            </w:pPr>
            <w:r>
              <w:rPr>
                <w:rFonts w:ascii="仿宋_GB2312" w:eastAsia="仿宋_GB2312" w:hAnsi="宋体" w:cs="宋体" w:hint="eastAsia"/>
                <w:kern w:val="0"/>
                <w:sz w:val="28"/>
                <w:szCs w:val="28"/>
              </w:rPr>
              <w:t>1</w:t>
            </w:r>
          </w:p>
        </w:tc>
        <w:tc>
          <w:tcPr>
            <w:tcW w:w="2261"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center"/>
              <w:rPr>
                <w:rFonts w:ascii="仿宋_GB2312" w:eastAsia="仿宋_GB2312" w:hAnsi="宋体" w:cs="宋体"/>
                <w:b/>
                <w:bCs/>
                <w:color w:val="000000"/>
                <w:kern w:val="0"/>
                <w:sz w:val="28"/>
                <w:szCs w:val="28"/>
              </w:rPr>
            </w:pPr>
            <w:r>
              <w:rPr>
                <w:rFonts w:ascii="仿宋_GB2312" w:eastAsia="仿宋_GB2312" w:hAnsi="宋体" w:cs="宋体" w:hint="eastAsia"/>
                <w:color w:val="000000"/>
                <w:kern w:val="0"/>
                <w:sz w:val="28"/>
                <w:szCs w:val="28"/>
              </w:rPr>
              <w:t>对项目需求的理解和认识</w:t>
            </w:r>
          </w:p>
        </w:tc>
        <w:tc>
          <w:tcPr>
            <w:tcW w:w="6103"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对民政服务机构安全管理现状、监管难点、存在问题进行描述和分析，结合现状和要求，对民政服务机构安全生产监管目标需求、功能需求、业务需求、系统性能需求进行分析和描述。</w:t>
            </w:r>
          </w:p>
          <w:p w:rsidR="00B77AEF" w:rsidRDefault="00B77AEF">
            <w:pPr>
              <w:autoSpaceDE w:val="0"/>
              <w:autoSpaceDN w:val="0"/>
              <w:adjustRightInd w:val="0"/>
              <w:spacing w:line="360" w:lineRule="auto"/>
              <w:jc w:val="left"/>
              <w:rPr>
                <w:rFonts w:ascii="仿宋_GB2312" w:eastAsia="仿宋_GB2312" w:hAnsi="宋体" w:cs="宋体"/>
                <w:b/>
                <w:bCs/>
                <w:color w:val="000000"/>
                <w:kern w:val="0"/>
                <w:sz w:val="28"/>
                <w:szCs w:val="28"/>
              </w:rPr>
            </w:pPr>
            <w:r>
              <w:rPr>
                <w:rFonts w:ascii="仿宋_GB2312" w:eastAsia="仿宋_GB2312" w:hAnsi="宋体" w:cs="宋体" w:hint="eastAsia"/>
                <w:color w:val="000000"/>
                <w:kern w:val="0"/>
                <w:sz w:val="28"/>
                <w:szCs w:val="28"/>
              </w:rPr>
              <w:t>根据招标文件的需求和投标文件响应情况进行横向比较，分档评分：评价为优5分；评价</w:t>
            </w:r>
            <w:proofErr w:type="gramStart"/>
            <w:r>
              <w:rPr>
                <w:rFonts w:ascii="仿宋_GB2312" w:eastAsia="仿宋_GB2312" w:hAnsi="宋体" w:cs="宋体" w:hint="eastAsia"/>
                <w:color w:val="000000"/>
                <w:kern w:val="0"/>
                <w:sz w:val="28"/>
                <w:szCs w:val="28"/>
              </w:rPr>
              <w:t>为良得4分</w:t>
            </w:r>
            <w:proofErr w:type="gramEnd"/>
            <w:r>
              <w:rPr>
                <w:rFonts w:ascii="仿宋_GB2312" w:eastAsia="仿宋_GB2312" w:hAnsi="宋体" w:cs="宋体" w:hint="eastAsia"/>
                <w:color w:val="000000"/>
                <w:kern w:val="0"/>
                <w:sz w:val="28"/>
                <w:szCs w:val="28"/>
              </w:rPr>
              <w:t>；评价为中得3分；评价为差不得分。</w:t>
            </w:r>
          </w:p>
        </w:tc>
        <w:tc>
          <w:tcPr>
            <w:tcW w:w="992"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center"/>
              <w:rPr>
                <w:rFonts w:ascii="仿宋_GB2312" w:eastAsia="仿宋_GB2312" w:hAnsi="宋体" w:cs="宋体"/>
                <w:b/>
                <w:bCs/>
                <w:kern w:val="0"/>
                <w:sz w:val="28"/>
                <w:szCs w:val="28"/>
              </w:rPr>
            </w:pPr>
            <w:r>
              <w:rPr>
                <w:rFonts w:ascii="仿宋_GB2312" w:eastAsia="仿宋_GB2312" w:hAnsi="宋体" w:cs="宋体" w:hint="eastAsia"/>
                <w:kern w:val="0"/>
                <w:sz w:val="28"/>
                <w:szCs w:val="28"/>
              </w:rPr>
              <w:t>5</w:t>
            </w:r>
          </w:p>
        </w:tc>
      </w:tr>
      <w:tr w:rsidR="00B77AEF" w:rsidTr="00B77AEF">
        <w:trPr>
          <w:cantSplit/>
          <w:trHeight w:val="1255"/>
        </w:trPr>
        <w:tc>
          <w:tcPr>
            <w:tcW w:w="709" w:type="dxa"/>
            <w:tcBorders>
              <w:top w:val="inset" w:sz="6" w:space="0" w:color="DDDDDD"/>
              <w:left w:val="inset" w:sz="6" w:space="0" w:color="DDDDDD"/>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2</w:t>
            </w:r>
          </w:p>
        </w:tc>
        <w:tc>
          <w:tcPr>
            <w:tcW w:w="2261"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总体设计方案评价</w:t>
            </w:r>
          </w:p>
        </w:tc>
        <w:tc>
          <w:tcPr>
            <w:tcW w:w="6103"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总体建设方案的设计思路、技术路线、系统架构、功能架构等清晰、合理、先进，满足系统的建设需求。</w:t>
            </w:r>
          </w:p>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根据招标文件的需求和投标文件响应情况进行横向比较，分档评分：评价</w:t>
            </w:r>
            <w:proofErr w:type="gramStart"/>
            <w:r>
              <w:rPr>
                <w:rFonts w:ascii="仿宋_GB2312" w:eastAsia="仿宋_GB2312" w:hAnsi="宋体" w:cs="宋体" w:hint="eastAsia"/>
                <w:kern w:val="0"/>
                <w:sz w:val="28"/>
                <w:szCs w:val="28"/>
              </w:rPr>
              <w:t>为优得10分</w:t>
            </w:r>
            <w:proofErr w:type="gramEnd"/>
            <w:r>
              <w:rPr>
                <w:rFonts w:ascii="仿宋_GB2312" w:eastAsia="仿宋_GB2312" w:hAnsi="宋体" w:cs="宋体" w:hint="eastAsia"/>
                <w:kern w:val="0"/>
                <w:sz w:val="28"/>
                <w:szCs w:val="28"/>
              </w:rPr>
              <w:t>；评价</w:t>
            </w:r>
            <w:proofErr w:type="gramStart"/>
            <w:r>
              <w:rPr>
                <w:rFonts w:ascii="仿宋_GB2312" w:eastAsia="仿宋_GB2312" w:hAnsi="宋体" w:cs="宋体" w:hint="eastAsia"/>
                <w:kern w:val="0"/>
                <w:sz w:val="28"/>
                <w:szCs w:val="28"/>
              </w:rPr>
              <w:t>为良得8分</w:t>
            </w:r>
            <w:proofErr w:type="gramEnd"/>
            <w:r>
              <w:rPr>
                <w:rFonts w:ascii="仿宋_GB2312" w:eastAsia="仿宋_GB2312" w:hAnsi="宋体" w:cs="宋体" w:hint="eastAsia"/>
                <w:kern w:val="0"/>
                <w:sz w:val="28"/>
                <w:szCs w:val="28"/>
              </w:rPr>
              <w:t>；评价为中得6分；评价为差不得分。</w:t>
            </w:r>
          </w:p>
        </w:tc>
        <w:tc>
          <w:tcPr>
            <w:tcW w:w="992"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10</w:t>
            </w:r>
          </w:p>
        </w:tc>
      </w:tr>
      <w:tr w:rsidR="00B77AEF" w:rsidTr="00B77AEF">
        <w:trPr>
          <w:cantSplit/>
          <w:trHeight w:val="878"/>
        </w:trPr>
        <w:tc>
          <w:tcPr>
            <w:tcW w:w="709" w:type="dxa"/>
            <w:tcBorders>
              <w:top w:val="inset" w:sz="6" w:space="0" w:color="DDDDDD"/>
              <w:left w:val="inset" w:sz="6" w:space="0" w:color="DDDDDD"/>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c>
          <w:tcPr>
            <w:tcW w:w="2261"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实施方案评价</w:t>
            </w:r>
          </w:p>
        </w:tc>
        <w:tc>
          <w:tcPr>
            <w:tcW w:w="6103"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投标人方案内容包括监管数据中心、监督检查系统、主体责任系统、决策分析系统等四项内容的详细设计和描述，结构清晰，功能全面。</w:t>
            </w:r>
          </w:p>
          <w:p w:rsidR="00B77AEF" w:rsidRDefault="00B77AEF">
            <w:pPr>
              <w:autoSpaceDE w:val="0"/>
              <w:autoSpaceDN w:val="0"/>
              <w:adjustRightInd w:val="0"/>
              <w:spacing w:line="360" w:lineRule="auto"/>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按照投标文件响应情况进行横向比较，分档评分：</w:t>
            </w:r>
          </w:p>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根据招标文件的需求和投标文件响应情况进行横向比较，分档评分：评价</w:t>
            </w:r>
            <w:proofErr w:type="gramStart"/>
            <w:r>
              <w:rPr>
                <w:rFonts w:ascii="仿宋_GB2312" w:eastAsia="仿宋_GB2312" w:hAnsi="宋体" w:cs="宋体" w:hint="eastAsia"/>
                <w:kern w:val="0"/>
                <w:sz w:val="28"/>
                <w:szCs w:val="28"/>
              </w:rPr>
              <w:t>为优得10分</w:t>
            </w:r>
            <w:proofErr w:type="gramEnd"/>
            <w:r>
              <w:rPr>
                <w:rFonts w:ascii="仿宋_GB2312" w:eastAsia="仿宋_GB2312" w:hAnsi="宋体" w:cs="宋体" w:hint="eastAsia"/>
                <w:kern w:val="0"/>
                <w:sz w:val="28"/>
                <w:szCs w:val="28"/>
              </w:rPr>
              <w:t>；评价</w:t>
            </w:r>
            <w:proofErr w:type="gramStart"/>
            <w:r>
              <w:rPr>
                <w:rFonts w:ascii="仿宋_GB2312" w:eastAsia="仿宋_GB2312" w:hAnsi="宋体" w:cs="宋体" w:hint="eastAsia"/>
                <w:kern w:val="0"/>
                <w:sz w:val="28"/>
                <w:szCs w:val="28"/>
              </w:rPr>
              <w:t>为良得8分</w:t>
            </w:r>
            <w:proofErr w:type="gramEnd"/>
            <w:r>
              <w:rPr>
                <w:rFonts w:ascii="仿宋_GB2312" w:eastAsia="仿宋_GB2312" w:hAnsi="宋体" w:cs="宋体" w:hint="eastAsia"/>
                <w:kern w:val="0"/>
                <w:sz w:val="28"/>
                <w:szCs w:val="28"/>
              </w:rPr>
              <w:t>；评价为中得6分；评价为差不得分。</w:t>
            </w:r>
          </w:p>
        </w:tc>
        <w:tc>
          <w:tcPr>
            <w:tcW w:w="992"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10</w:t>
            </w:r>
          </w:p>
        </w:tc>
      </w:tr>
      <w:tr w:rsidR="00B77AEF" w:rsidTr="00B77AEF">
        <w:trPr>
          <w:cantSplit/>
          <w:trHeight w:val="797"/>
        </w:trPr>
        <w:tc>
          <w:tcPr>
            <w:tcW w:w="709" w:type="dxa"/>
            <w:tcBorders>
              <w:top w:val="inset" w:sz="6" w:space="0" w:color="DDDDDD"/>
              <w:left w:val="inset" w:sz="6" w:space="0" w:color="DDDDDD"/>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4</w:t>
            </w:r>
          </w:p>
        </w:tc>
        <w:tc>
          <w:tcPr>
            <w:tcW w:w="2261"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项目重点难点分析、应对措施及相关的合理化建议</w:t>
            </w:r>
          </w:p>
          <w:p w:rsidR="00B77AEF" w:rsidRDefault="00B77AEF">
            <w:pPr>
              <w:autoSpaceDE w:val="0"/>
              <w:autoSpaceDN w:val="0"/>
              <w:adjustRightInd w:val="0"/>
              <w:spacing w:line="360" w:lineRule="auto"/>
              <w:jc w:val="left"/>
              <w:rPr>
                <w:rFonts w:ascii="仿宋_GB2312" w:eastAsia="仿宋_GB2312" w:hAnsi="宋体" w:cs="宋体"/>
                <w:color w:val="FF0000"/>
                <w:kern w:val="0"/>
                <w:sz w:val="28"/>
                <w:szCs w:val="28"/>
              </w:rPr>
            </w:pPr>
          </w:p>
        </w:tc>
        <w:tc>
          <w:tcPr>
            <w:tcW w:w="6103"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1、梳理不同类型民政服务机构的安全生产工作职责，梳理完善各级各部门对民政服务机构的检查标准。根据招标文件的需求和投标文件响应情况进行横向比较，分档评分：评价</w:t>
            </w:r>
            <w:proofErr w:type="gramStart"/>
            <w:r>
              <w:rPr>
                <w:rFonts w:ascii="仿宋_GB2312" w:eastAsia="仿宋_GB2312" w:hAnsi="宋体" w:cs="宋体" w:hint="eastAsia"/>
                <w:kern w:val="0"/>
                <w:sz w:val="28"/>
                <w:szCs w:val="28"/>
              </w:rPr>
              <w:t>为优得4分</w:t>
            </w:r>
            <w:proofErr w:type="gramEnd"/>
            <w:r>
              <w:rPr>
                <w:rFonts w:ascii="仿宋_GB2312" w:eastAsia="仿宋_GB2312" w:hAnsi="宋体" w:cs="宋体" w:hint="eastAsia"/>
                <w:kern w:val="0"/>
                <w:sz w:val="28"/>
                <w:szCs w:val="28"/>
              </w:rPr>
              <w:t>；评价</w:t>
            </w:r>
            <w:proofErr w:type="gramStart"/>
            <w:r>
              <w:rPr>
                <w:rFonts w:ascii="仿宋_GB2312" w:eastAsia="仿宋_GB2312" w:hAnsi="宋体" w:cs="宋体" w:hint="eastAsia"/>
                <w:kern w:val="0"/>
                <w:sz w:val="28"/>
                <w:szCs w:val="28"/>
              </w:rPr>
              <w:t>为良得3分</w:t>
            </w:r>
            <w:proofErr w:type="gramEnd"/>
            <w:r>
              <w:rPr>
                <w:rFonts w:ascii="仿宋_GB2312" w:eastAsia="仿宋_GB2312" w:hAnsi="宋体" w:cs="宋体" w:hint="eastAsia"/>
                <w:kern w:val="0"/>
                <w:sz w:val="28"/>
                <w:szCs w:val="28"/>
              </w:rPr>
              <w:t>；评价为中得2分；评价为差不得分。</w:t>
            </w:r>
          </w:p>
          <w:p w:rsidR="00B77AEF" w:rsidRDefault="00B77AEF">
            <w:pPr>
              <w:autoSpaceDE w:val="0"/>
              <w:autoSpaceDN w:val="0"/>
              <w:adjustRightInd w:val="0"/>
              <w:spacing w:line="360" w:lineRule="auto"/>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系统对接。实现与省厅民政机构管理系统、智慧民政等系统对接，具有自主知识产权的异构系统整合对接工具，实现同源一致性整合的对接方案的得3分；提出有接口方式下完整对接方案的得1分数；没有提出可操作性对接方案的不得分。</w:t>
            </w:r>
          </w:p>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3、业务融合。实现消防、安监、网格化系统融合；具有自主知识产权的业务融合工具，具备利用工具无缝融合不同业务系统，实现隐患数据采集、任务派发等深度融合的得3分；提出融合方案完整，通过接口方式下实现业务融合的得1分；提出业务融合方案不完整的不得分。</w:t>
            </w:r>
          </w:p>
        </w:tc>
        <w:tc>
          <w:tcPr>
            <w:tcW w:w="992"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10</w:t>
            </w:r>
          </w:p>
        </w:tc>
      </w:tr>
      <w:tr w:rsidR="00B77AEF" w:rsidTr="00B77AEF">
        <w:trPr>
          <w:trHeight w:val="494"/>
        </w:trPr>
        <w:tc>
          <w:tcPr>
            <w:tcW w:w="709" w:type="dxa"/>
            <w:tcBorders>
              <w:top w:val="inset" w:sz="6" w:space="0" w:color="DDDDDD"/>
              <w:left w:val="inset" w:sz="6" w:space="0" w:color="DDDDDD"/>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5</w:t>
            </w:r>
          </w:p>
        </w:tc>
        <w:tc>
          <w:tcPr>
            <w:tcW w:w="2261"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质量（完成时间、安全、环保）保障措施及方案</w:t>
            </w:r>
          </w:p>
        </w:tc>
        <w:tc>
          <w:tcPr>
            <w:tcW w:w="6103"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1、对项目工作按月、季度、年度周期汇报的要求说明。</w:t>
            </w:r>
          </w:p>
          <w:p w:rsidR="00B77AEF" w:rsidRDefault="00B77AEF">
            <w:pPr>
              <w:autoSpaceDE w:val="0"/>
              <w:autoSpaceDN w:val="0"/>
              <w:adjustRightInd w:val="0"/>
              <w:spacing w:line="360" w:lineRule="auto"/>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2、对于一般故障、重大故障的处理措施及时效性说明，以及是否有预备方案。</w:t>
            </w:r>
          </w:p>
          <w:p w:rsidR="00B77AEF" w:rsidRDefault="00B77AEF">
            <w:pPr>
              <w:autoSpaceDE w:val="0"/>
              <w:autoSpaceDN w:val="0"/>
              <w:adjustRightInd w:val="0"/>
              <w:spacing w:line="360" w:lineRule="auto"/>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3、是否承诺将按照采购人提出的系统稳定、安全、可靠、有效运行等要求和指标确保运行管理服务方</w:t>
            </w:r>
            <w:r>
              <w:rPr>
                <w:rFonts w:ascii="仿宋_GB2312" w:eastAsia="仿宋_GB2312" w:hAnsi="宋体" w:cs="宋体" w:hint="eastAsia"/>
                <w:kern w:val="0"/>
                <w:sz w:val="28"/>
                <w:szCs w:val="28"/>
              </w:rPr>
              <w:lastRenderedPageBreak/>
              <w:t>案按要求落实执行。</w:t>
            </w:r>
          </w:p>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以上3个小项累加计分，根据招标文件的需求和投标文件响应情况对3个小项进行横向比较，并按具体评分要求进行分档评分：评价</w:t>
            </w:r>
            <w:proofErr w:type="gramStart"/>
            <w:r>
              <w:rPr>
                <w:rFonts w:ascii="仿宋_GB2312" w:eastAsia="仿宋_GB2312" w:hAnsi="宋体" w:cs="宋体" w:hint="eastAsia"/>
                <w:kern w:val="0"/>
                <w:sz w:val="28"/>
                <w:szCs w:val="28"/>
              </w:rPr>
              <w:t>为优得5分</w:t>
            </w:r>
            <w:proofErr w:type="gramEnd"/>
            <w:r>
              <w:rPr>
                <w:rFonts w:ascii="仿宋_GB2312" w:eastAsia="仿宋_GB2312" w:hAnsi="宋体" w:cs="宋体" w:hint="eastAsia"/>
                <w:kern w:val="0"/>
                <w:sz w:val="28"/>
                <w:szCs w:val="28"/>
              </w:rPr>
              <w:t>；评价</w:t>
            </w:r>
            <w:proofErr w:type="gramStart"/>
            <w:r>
              <w:rPr>
                <w:rFonts w:ascii="仿宋_GB2312" w:eastAsia="仿宋_GB2312" w:hAnsi="宋体" w:cs="宋体" w:hint="eastAsia"/>
                <w:kern w:val="0"/>
                <w:sz w:val="28"/>
                <w:szCs w:val="28"/>
              </w:rPr>
              <w:t>为良得4分</w:t>
            </w:r>
            <w:proofErr w:type="gramEnd"/>
            <w:r>
              <w:rPr>
                <w:rFonts w:ascii="仿宋_GB2312" w:eastAsia="仿宋_GB2312" w:hAnsi="宋体" w:cs="宋体" w:hint="eastAsia"/>
                <w:kern w:val="0"/>
                <w:sz w:val="28"/>
                <w:szCs w:val="28"/>
              </w:rPr>
              <w:t>；评价为中得3分；评价为差不得分。要求提供相关证明材料扫描件（原件备查）作为得分依据。评分中出现无证明资料或专家无法凭所提供资料判断是否得分的情况，一律作不得分处理。</w:t>
            </w:r>
          </w:p>
        </w:tc>
        <w:tc>
          <w:tcPr>
            <w:tcW w:w="992"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5</w:t>
            </w:r>
          </w:p>
        </w:tc>
      </w:tr>
      <w:tr w:rsidR="00B77AEF" w:rsidTr="00B77AEF">
        <w:trPr>
          <w:trHeight w:val="494"/>
        </w:trPr>
        <w:tc>
          <w:tcPr>
            <w:tcW w:w="709" w:type="dxa"/>
            <w:tcBorders>
              <w:top w:val="inset" w:sz="6" w:space="0" w:color="DDDDDD"/>
              <w:left w:val="inset" w:sz="6" w:space="0" w:color="DDDDDD"/>
              <w:bottom w:val="inset" w:sz="6" w:space="0" w:color="DDDDDD"/>
              <w:right w:val="inset" w:sz="6" w:space="0" w:color="DDDDDD"/>
            </w:tcBorders>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6</w:t>
            </w:r>
          </w:p>
        </w:tc>
        <w:tc>
          <w:tcPr>
            <w:tcW w:w="2261" w:type="dxa"/>
            <w:tcBorders>
              <w:top w:val="inset" w:sz="6" w:space="0" w:color="DDDDDD"/>
              <w:left w:val="nil"/>
              <w:bottom w:val="inset" w:sz="6" w:space="0" w:color="DDDDDD"/>
              <w:right w:val="inset" w:sz="6" w:space="0" w:color="DDDDDD"/>
            </w:tcBorders>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服务网点</w:t>
            </w:r>
          </w:p>
        </w:tc>
        <w:tc>
          <w:tcPr>
            <w:tcW w:w="6103"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深圳企业或非深圳企业，但在深圳市有合法注册的分公司等机构的，得2分（须在投标文件中就设立的机构类型进行说明，并提供机构营业执照扫描件）；否则不得分。</w:t>
            </w:r>
          </w:p>
        </w:tc>
        <w:tc>
          <w:tcPr>
            <w:tcW w:w="992"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r>
      <w:tr w:rsidR="00B77AEF" w:rsidTr="00B77AEF">
        <w:trPr>
          <w:trHeight w:val="494"/>
        </w:trPr>
        <w:tc>
          <w:tcPr>
            <w:tcW w:w="709" w:type="dxa"/>
            <w:tcBorders>
              <w:top w:val="inset" w:sz="6" w:space="0" w:color="DDDDDD"/>
              <w:left w:val="inset" w:sz="6" w:space="0" w:color="DDDDDD"/>
              <w:bottom w:val="inset" w:sz="6" w:space="0" w:color="DDDDDD"/>
              <w:right w:val="inset" w:sz="6" w:space="0" w:color="DDDDDD"/>
            </w:tcBorders>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7</w:t>
            </w:r>
          </w:p>
        </w:tc>
        <w:tc>
          <w:tcPr>
            <w:tcW w:w="2261" w:type="dxa"/>
            <w:tcBorders>
              <w:top w:val="inset" w:sz="6" w:space="0" w:color="DDDDDD"/>
              <w:left w:val="nil"/>
              <w:bottom w:val="inset" w:sz="6" w:space="0" w:color="DDDDDD"/>
              <w:right w:val="inset" w:sz="6" w:space="0" w:color="DDDDDD"/>
            </w:tcBorders>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highlight w:val="yellow"/>
              </w:rPr>
            </w:pPr>
            <w:r>
              <w:rPr>
                <w:rFonts w:ascii="仿宋_GB2312" w:eastAsia="仿宋_GB2312" w:hAnsi="宋体" w:cs="宋体" w:hint="eastAsia"/>
                <w:kern w:val="0"/>
                <w:sz w:val="28"/>
                <w:szCs w:val="28"/>
              </w:rPr>
              <w:t>服务承诺</w:t>
            </w:r>
          </w:p>
        </w:tc>
        <w:tc>
          <w:tcPr>
            <w:tcW w:w="6103"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1、提出的服务承诺情况及其可实现程度；</w:t>
            </w:r>
          </w:p>
          <w:p w:rsidR="00B77AEF" w:rsidRDefault="00B77AEF">
            <w:pPr>
              <w:autoSpaceDE w:val="0"/>
              <w:autoSpaceDN w:val="0"/>
              <w:adjustRightInd w:val="0"/>
              <w:spacing w:line="360" w:lineRule="auto"/>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2、服务期间人员配备以及事件处理响应速度。</w:t>
            </w:r>
          </w:p>
          <w:p w:rsidR="00B77AEF" w:rsidRDefault="00B77AEF">
            <w:pPr>
              <w:autoSpaceDE w:val="0"/>
              <w:autoSpaceDN w:val="0"/>
              <w:adjustRightInd w:val="0"/>
              <w:spacing w:line="360" w:lineRule="auto"/>
              <w:jc w:val="left"/>
              <w:rPr>
                <w:rFonts w:ascii="仿宋_GB2312" w:eastAsia="仿宋_GB2312" w:hAnsi="宋体" w:cs="宋体"/>
                <w:kern w:val="0"/>
              </w:rPr>
            </w:pPr>
            <w:r>
              <w:rPr>
                <w:rFonts w:ascii="仿宋_GB2312" w:eastAsia="仿宋_GB2312" w:hAnsi="宋体" w:cs="宋体" w:hint="eastAsia"/>
                <w:kern w:val="0"/>
                <w:sz w:val="28"/>
                <w:szCs w:val="28"/>
              </w:rPr>
              <w:t>根据招标文件的需求和投标文件响应情况进行横向比较，分档评分：评价</w:t>
            </w:r>
            <w:proofErr w:type="gramStart"/>
            <w:r>
              <w:rPr>
                <w:rFonts w:ascii="仿宋_GB2312" w:eastAsia="仿宋_GB2312" w:hAnsi="宋体" w:cs="宋体" w:hint="eastAsia"/>
                <w:kern w:val="0"/>
                <w:sz w:val="28"/>
                <w:szCs w:val="28"/>
              </w:rPr>
              <w:t>为优得3分</w:t>
            </w:r>
            <w:proofErr w:type="gramEnd"/>
            <w:r>
              <w:rPr>
                <w:rFonts w:ascii="仿宋_GB2312" w:eastAsia="仿宋_GB2312" w:hAnsi="宋体" w:cs="宋体" w:hint="eastAsia"/>
                <w:kern w:val="0"/>
                <w:sz w:val="28"/>
                <w:szCs w:val="28"/>
              </w:rPr>
              <w:t>；评价</w:t>
            </w:r>
            <w:proofErr w:type="gramStart"/>
            <w:r>
              <w:rPr>
                <w:rFonts w:ascii="仿宋_GB2312" w:eastAsia="仿宋_GB2312" w:hAnsi="宋体" w:cs="宋体" w:hint="eastAsia"/>
                <w:kern w:val="0"/>
                <w:sz w:val="28"/>
                <w:szCs w:val="28"/>
              </w:rPr>
              <w:t>为良得2分</w:t>
            </w:r>
            <w:proofErr w:type="gramEnd"/>
            <w:r>
              <w:rPr>
                <w:rFonts w:ascii="仿宋_GB2312" w:eastAsia="仿宋_GB2312" w:hAnsi="宋体" w:cs="宋体" w:hint="eastAsia"/>
                <w:kern w:val="0"/>
                <w:sz w:val="28"/>
                <w:szCs w:val="28"/>
              </w:rPr>
              <w:t>；评价为中得1；评价为差不得分。</w:t>
            </w:r>
          </w:p>
        </w:tc>
        <w:tc>
          <w:tcPr>
            <w:tcW w:w="992"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r>
      <w:tr w:rsidR="00B77AEF" w:rsidTr="00B77AEF">
        <w:trPr>
          <w:trHeight w:val="494"/>
        </w:trPr>
        <w:tc>
          <w:tcPr>
            <w:tcW w:w="709" w:type="dxa"/>
            <w:tcBorders>
              <w:top w:val="inset" w:sz="6" w:space="0" w:color="DDDDDD"/>
              <w:left w:val="inset" w:sz="6" w:space="0" w:color="DDDDDD"/>
              <w:bottom w:val="inset" w:sz="6" w:space="0" w:color="DDDDDD"/>
              <w:right w:val="inset" w:sz="6" w:space="0" w:color="DDDDDD"/>
            </w:tcBorders>
            <w:tcMar>
              <w:top w:w="15" w:type="dxa"/>
              <w:left w:w="15" w:type="dxa"/>
              <w:bottom w:w="15" w:type="dxa"/>
              <w:right w:w="15" w:type="dxa"/>
            </w:tcMar>
            <w:vAlign w:val="center"/>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p>
        </w:tc>
        <w:tc>
          <w:tcPr>
            <w:tcW w:w="2261"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合计</w:t>
            </w:r>
          </w:p>
        </w:tc>
        <w:tc>
          <w:tcPr>
            <w:tcW w:w="6103"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p>
        </w:tc>
        <w:tc>
          <w:tcPr>
            <w:tcW w:w="992"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45</w:t>
            </w:r>
          </w:p>
        </w:tc>
      </w:tr>
    </w:tbl>
    <w:p w:rsidR="00B77AEF" w:rsidRDefault="00B77AEF" w:rsidP="00B77AEF">
      <w:pPr>
        <w:autoSpaceDE w:val="0"/>
        <w:autoSpaceDN w:val="0"/>
        <w:adjustRightInd w:val="0"/>
        <w:spacing w:line="360" w:lineRule="auto"/>
        <w:jc w:val="left"/>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3.价格，</w:t>
      </w:r>
      <w:r>
        <w:rPr>
          <w:rFonts w:ascii="仿宋_GB2312" w:eastAsia="仿宋_GB2312" w:hAnsi="宋体" w:hint="eastAsia"/>
          <w:b/>
          <w:bCs/>
          <w:sz w:val="28"/>
          <w:szCs w:val="28"/>
        </w:rPr>
        <w:t>[ 分值：45分 ]</w:t>
      </w:r>
    </w:p>
    <w:tbl>
      <w:tblPr>
        <w:tblW w:w="10065" w:type="dxa"/>
        <w:tblInd w:w="-743" w:type="dxa"/>
        <w:tblBorders>
          <w:top w:val="outset" w:sz="6" w:space="0" w:color="DDDDDD"/>
          <w:left w:val="outset" w:sz="6" w:space="0" w:color="DDDDDD"/>
          <w:bottom w:val="outset" w:sz="6" w:space="0" w:color="DDDDDD"/>
          <w:right w:val="outset" w:sz="6" w:space="0" w:color="DDDDDD"/>
          <w:insideH w:val="outset" w:sz="6" w:space="0" w:color="DDDDDD"/>
          <w:insideV w:val="outset" w:sz="6" w:space="0" w:color="DDDDDD"/>
        </w:tblBorders>
        <w:tblLayout w:type="fixed"/>
        <w:tblLook w:val="04A0" w:firstRow="1" w:lastRow="0" w:firstColumn="1" w:lastColumn="0" w:noHBand="0" w:noVBand="1"/>
      </w:tblPr>
      <w:tblGrid>
        <w:gridCol w:w="709"/>
        <w:gridCol w:w="2261"/>
        <w:gridCol w:w="6103"/>
        <w:gridCol w:w="992"/>
      </w:tblGrid>
      <w:tr w:rsidR="00B77AEF" w:rsidTr="00B77AEF">
        <w:trPr>
          <w:trHeight w:val="526"/>
        </w:trPr>
        <w:tc>
          <w:tcPr>
            <w:tcW w:w="709" w:type="dxa"/>
            <w:tcBorders>
              <w:top w:val="inset" w:sz="6" w:space="0" w:color="DDDDDD"/>
              <w:left w:val="inset" w:sz="6" w:space="0" w:color="DDDDDD"/>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序号</w:t>
            </w:r>
          </w:p>
        </w:tc>
        <w:tc>
          <w:tcPr>
            <w:tcW w:w="2261"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评审项目</w:t>
            </w:r>
          </w:p>
        </w:tc>
        <w:tc>
          <w:tcPr>
            <w:tcW w:w="6103"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评审内容</w:t>
            </w:r>
          </w:p>
        </w:tc>
        <w:tc>
          <w:tcPr>
            <w:tcW w:w="992"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分值</w:t>
            </w:r>
          </w:p>
        </w:tc>
      </w:tr>
      <w:tr w:rsidR="00B77AEF" w:rsidTr="00B77AEF">
        <w:trPr>
          <w:trHeight w:val="526"/>
        </w:trPr>
        <w:tc>
          <w:tcPr>
            <w:tcW w:w="709" w:type="dxa"/>
            <w:tcBorders>
              <w:top w:val="inset" w:sz="6" w:space="0" w:color="DDDDDD"/>
              <w:left w:val="inset" w:sz="6" w:space="0" w:color="DDDDDD"/>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center"/>
              <w:rPr>
                <w:rFonts w:ascii="仿宋_GB2312" w:eastAsia="仿宋_GB2312" w:hAnsi="宋体" w:cs="宋体"/>
                <w:b/>
                <w:bCs/>
                <w:kern w:val="0"/>
                <w:sz w:val="28"/>
                <w:szCs w:val="28"/>
              </w:rPr>
            </w:pPr>
            <w:r>
              <w:rPr>
                <w:rFonts w:ascii="仿宋_GB2312" w:eastAsia="仿宋_GB2312" w:hAnsi="宋体" w:cs="宋体" w:hint="eastAsia"/>
                <w:kern w:val="0"/>
                <w:sz w:val="28"/>
                <w:szCs w:val="28"/>
              </w:rPr>
              <w:t>1</w:t>
            </w:r>
          </w:p>
        </w:tc>
        <w:tc>
          <w:tcPr>
            <w:tcW w:w="2261"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center"/>
              <w:rPr>
                <w:rFonts w:ascii="仿宋_GB2312" w:eastAsia="仿宋_GB2312" w:hAnsi="宋体" w:cs="宋体"/>
                <w:b/>
                <w:bCs/>
                <w:color w:val="000000"/>
                <w:kern w:val="0"/>
                <w:sz w:val="28"/>
                <w:szCs w:val="28"/>
              </w:rPr>
            </w:pPr>
            <w:r>
              <w:rPr>
                <w:rFonts w:ascii="仿宋_GB2312" w:eastAsia="仿宋_GB2312" w:hAnsi="宋体" w:cs="宋体" w:hint="eastAsia"/>
                <w:color w:val="000000"/>
                <w:kern w:val="0"/>
                <w:sz w:val="28"/>
                <w:szCs w:val="28"/>
              </w:rPr>
              <w:t>投标价格</w:t>
            </w:r>
          </w:p>
        </w:tc>
        <w:tc>
          <w:tcPr>
            <w:tcW w:w="6103"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rPr>
                <w:rFonts w:ascii="仿宋_GB2312" w:eastAsia="仿宋_GB2312" w:hAnsi="宋体" w:cs="宋体"/>
                <w:kern w:val="0"/>
                <w:sz w:val="28"/>
                <w:szCs w:val="28"/>
              </w:rPr>
            </w:pPr>
            <w:r>
              <w:rPr>
                <w:rFonts w:ascii="仿宋_GB2312" w:eastAsia="仿宋_GB2312" w:hAnsi="宋体" w:cs="宋体" w:hint="eastAsia"/>
                <w:kern w:val="0"/>
                <w:sz w:val="28"/>
                <w:szCs w:val="28"/>
              </w:rPr>
              <w:t>综合评分法中的价格</w:t>
            </w:r>
            <w:proofErr w:type="gramStart"/>
            <w:r>
              <w:rPr>
                <w:rFonts w:ascii="仿宋_GB2312" w:eastAsia="仿宋_GB2312" w:hAnsi="宋体" w:cs="宋体" w:hint="eastAsia"/>
                <w:kern w:val="0"/>
                <w:sz w:val="28"/>
                <w:szCs w:val="28"/>
              </w:rPr>
              <w:t>分统一</w:t>
            </w:r>
            <w:proofErr w:type="gramEnd"/>
            <w:r>
              <w:rPr>
                <w:rFonts w:ascii="仿宋_GB2312" w:eastAsia="仿宋_GB2312" w:hAnsi="宋体" w:cs="宋体" w:hint="eastAsia"/>
                <w:kern w:val="0"/>
                <w:sz w:val="28"/>
                <w:szCs w:val="28"/>
              </w:rPr>
              <w:t>采用基准价法计算，即</w:t>
            </w:r>
            <w:r>
              <w:rPr>
                <w:rFonts w:ascii="仿宋_GB2312" w:eastAsia="仿宋_GB2312" w:hAnsi="宋体" w:cs="宋体" w:hint="eastAsia"/>
                <w:kern w:val="0"/>
                <w:sz w:val="28"/>
                <w:szCs w:val="28"/>
              </w:rPr>
              <w:lastRenderedPageBreak/>
              <w:t>满足招标文件要求且投标价格平均值为评标基准价，其价格得分为满分，其他投标人的投标价得分的计算方法为：</w:t>
            </w:r>
          </w:p>
          <w:p w:rsidR="00B77AEF" w:rsidRDefault="00B77AEF">
            <w:pP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设：投标报价为M、 基准价为E、价格分为P（</w:t>
            </w:r>
            <w:proofErr w:type="spellStart"/>
            <w:r>
              <w:rPr>
                <w:rFonts w:ascii="仿宋_GB2312" w:eastAsia="仿宋_GB2312" w:hAnsi="宋体" w:cs="宋体" w:hint="eastAsia"/>
                <w:kern w:val="0"/>
                <w:sz w:val="28"/>
                <w:szCs w:val="28"/>
              </w:rPr>
              <w:t>P</w:t>
            </w:r>
            <w:proofErr w:type="spellEnd"/>
            <w:r>
              <w:rPr>
                <w:rFonts w:ascii="仿宋_GB2312" w:eastAsia="仿宋_GB2312" w:hAnsi="宋体" w:cs="宋体" w:hint="eastAsia"/>
                <w:kern w:val="0"/>
                <w:sz w:val="28"/>
                <w:szCs w:val="28"/>
              </w:rPr>
              <w:t>≥0）</w:t>
            </w:r>
          </w:p>
          <w:p w:rsidR="00B77AEF" w:rsidRDefault="00B77AEF">
            <w:pP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价格分=(1-|投标报价-评标基准价|/评标基准价)X1X30</w:t>
            </w:r>
          </w:p>
          <w:p w:rsidR="00B77AEF" w:rsidRDefault="00B77AEF">
            <w:r>
              <w:rPr>
                <w:rFonts w:ascii="仿宋_GB2312" w:eastAsia="仿宋_GB2312" w:hAnsi="宋体" w:cs="宋体" w:hint="eastAsia"/>
                <w:kern w:val="0"/>
                <w:sz w:val="28"/>
                <w:szCs w:val="28"/>
              </w:rPr>
              <w:t>E=(M1+M2+</w:t>
            </w:r>
            <w:r>
              <w:rPr>
                <w:rFonts w:ascii="宋体" w:hAnsi="宋体" w:cs="宋体" w:hint="eastAsia"/>
                <w:kern w:val="0"/>
                <w:sz w:val="28"/>
                <w:szCs w:val="28"/>
              </w:rPr>
              <w:t>……</w:t>
            </w:r>
            <w:proofErr w:type="spellStart"/>
            <w:r>
              <w:rPr>
                <w:rFonts w:ascii="仿宋_GB2312" w:eastAsia="仿宋_GB2312" w:hAnsi="宋体" w:cs="宋体" w:hint="eastAsia"/>
                <w:kern w:val="0"/>
                <w:sz w:val="28"/>
                <w:szCs w:val="28"/>
              </w:rPr>
              <w:t>Mn</w:t>
            </w:r>
            <w:proofErr w:type="spellEnd"/>
            <w:r>
              <w:rPr>
                <w:rFonts w:ascii="仿宋_GB2312" w:eastAsia="仿宋_GB2312" w:hAnsi="宋体" w:cs="宋体" w:hint="eastAsia"/>
                <w:kern w:val="0"/>
                <w:sz w:val="28"/>
                <w:szCs w:val="28"/>
              </w:rPr>
              <w:t>)/n</w:t>
            </w:r>
          </w:p>
        </w:tc>
        <w:tc>
          <w:tcPr>
            <w:tcW w:w="992" w:type="dxa"/>
            <w:tcBorders>
              <w:top w:val="inset" w:sz="6" w:space="0" w:color="DDDDDD"/>
              <w:left w:val="nil"/>
              <w:bottom w:val="inset" w:sz="6" w:space="0" w:color="DDDDDD"/>
              <w:right w:val="inset" w:sz="6" w:space="0" w:color="DDDDDD"/>
            </w:tcBorders>
            <w:tcMar>
              <w:top w:w="15" w:type="dxa"/>
              <w:left w:w="15" w:type="dxa"/>
              <w:bottom w:w="15" w:type="dxa"/>
              <w:right w:w="15" w:type="dxa"/>
            </w:tcMar>
            <w:vAlign w:val="center"/>
            <w:hideMark/>
          </w:tcPr>
          <w:p w:rsidR="00B77AEF" w:rsidRDefault="00B77AEF">
            <w:pPr>
              <w:autoSpaceDE w:val="0"/>
              <w:autoSpaceDN w:val="0"/>
              <w:adjustRightInd w:val="0"/>
              <w:spacing w:line="360" w:lineRule="auto"/>
              <w:jc w:val="center"/>
              <w:rPr>
                <w:rFonts w:ascii="仿宋_GB2312" w:eastAsia="仿宋_GB2312" w:hAnsi="宋体" w:cs="宋体"/>
                <w:b/>
                <w:bCs/>
                <w:kern w:val="0"/>
                <w:sz w:val="28"/>
                <w:szCs w:val="28"/>
              </w:rPr>
            </w:pPr>
            <w:r>
              <w:rPr>
                <w:rFonts w:ascii="仿宋_GB2312" w:eastAsia="仿宋_GB2312" w:hAnsi="宋体" w:cs="宋体" w:hint="eastAsia"/>
                <w:kern w:val="0"/>
                <w:sz w:val="28"/>
                <w:szCs w:val="28"/>
              </w:rPr>
              <w:lastRenderedPageBreak/>
              <w:t>20</w:t>
            </w:r>
          </w:p>
        </w:tc>
      </w:tr>
    </w:tbl>
    <w:p w:rsidR="00914D73" w:rsidRDefault="00914D73"/>
    <w:sectPr w:rsidR="00914D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_GB2312">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AEF"/>
    <w:rsid w:val="00914D73"/>
    <w:rsid w:val="00B77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AEF"/>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15"/>
    <w:basedOn w:val="a0"/>
    <w:rsid w:val="00B77AEF"/>
    <w:rPr>
      <w:rFonts w:ascii="宋体" w:eastAsia="宋体" w:hAnsi="宋体" w:hint="eastAsia"/>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AEF"/>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15"/>
    <w:basedOn w:val="a0"/>
    <w:rsid w:val="00B77AEF"/>
    <w:rPr>
      <w:rFonts w:ascii="宋体" w:eastAsia="宋体" w:hAnsi="宋体" w:hint="eastAsia"/>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90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410</Words>
  <Characters>2337</Characters>
  <Application>Microsoft Office Word</Application>
  <DocSecurity>0</DocSecurity>
  <Lines>19</Lines>
  <Paragraphs>5</Paragraphs>
  <ScaleCrop>false</ScaleCrop>
  <Company>P R C</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2020-03-12T02:35:00Z</dcterms:created>
  <dcterms:modified xsi:type="dcterms:W3CDTF">2020-03-12T02:36:00Z</dcterms:modified>
</cp:coreProperties>
</file>