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BEA" w:rsidRPr="00680723" w:rsidRDefault="00630BEA" w:rsidP="00630BEA">
      <w:pPr>
        <w:snapToGrid w:val="0"/>
        <w:spacing w:before="100" w:beforeAutospacing="1"/>
        <w:jc w:val="center"/>
        <w:outlineLvl w:val="2"/>
        <w:rPr>
          <w:rFonts w:ascii="方正小标宋简体" w:eastAsia="方正小标宋简体" w:hAnsi="宋体" w:cs="Arial"/>
          <w:bCs/>
          <w:kern w:val="0"/>
          <w:sz w:val="44"/>
          <w:szCs w:val="44"/>
        </w:rPr>
      </w:pPr>
      <w:r w:rsidRPr="00680723">
        <w:rPr>
          <w:rFonts w:ascii="方正小标宋简体" w:eastAsia="方正小标宋简体" w:hAnsi="宋体" w:cs="Arial" w:hint="eastAsia"/>
          <w:bCs/>
          <w:kern w:val="0"/>
          <w:sz w:val="44"/>
          <w:szCs w:val="44"/>
        </w:rPr>
        <w:t>深圳市社区（党群）服务中心运营与评估标准（征求意见稿）</w:t>
      </w:r>
    </w:p>
    <w:p w:rsidR="00630BEA" w:rsidRPr="00680723" w:rsidRDefault="00630BEA" w:rsidP="00630BEA">
      <w:pPr>
        <w:widowControl w:val="0"/>
        <w:snapToGrid w:val="0"/>
        <w:ind w:firstLineChars="200" w:firstLine="640"/>
        <w:rPr>
          <w:rFonts w:ascii="仿宋_GB2312" w:eastAsia="仿宋_GB2312" w:hAnsi="Calibri" w:cs="宋体"/>
          <w:kern w:val="0"/>
          <w:sz w:val="32"/>
          <w:szCs w:val="32"/>
        </w:rPr>
      </w:pP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kern w:val="0"/>
          <w:sz w:val="32"/>
          <w:szCs w:val="32"/>
        </w:rPr>
        <w:t>为加快推进本市社区服务的发展，提升社区服务水平，建立、完善以居民为本的社区服务平台，根据《中共深圳市委深圳市人民政府关于加强社会建设的决定》、《深圳市社区服务“十二五”规划》、《中共深圳市委组织部、深圳市民政局关于整合社区服务中心和社区党群服务中心的通知》及深圳市社会建设“风景林工程”项目的有关要求，结合全市社区服务发展的新常态，制定本标准。</w:t>
      </w:r>
    </w:p>
    <w:p w:rsidR="00630BEA" w:rsidRPr="00680723" w:rsidRDefault="00630BEA" w:rsidP="00630BEA">
      <w:pPr>
        <w:widowControl w:val="0"/>
        <w:snapToGrid w:val="0"/>
        <w:ind w:firstLine="709"/>
        <w:rPr>
          <w:rFonts w:ascii="黑体" w:eastAsia="黑体" w:hAnsi="Times New Roman" w:cs="宋体"/>
          <w:kern w:val="0"/>
          <w:sz w:val="32"/>
          <w:szCs w:val="32"/>
        </w:rPr>
      </w:pPr>
      <w:r w:rsidRPr="00680723">
        <w:rPr>
          <w:rFonts w:ascii="黑体" w:eastAsia="黑体" w:hAnsi="Times New Roman" w:cs="宋体" w:hint="eastAsia"/>
          <w:bCs/>
          <w:kern w:val="0"/>
          <w:sz w:val="32"/>
          <w:szCs w:val="32"/>
        </w:rPr>
        <w:t>一、社区服务与社区（党群）服务中心</w:t>
      </w: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kern w:val="0"/>
          <w:sz w:val="32"/>
          <w:szCs w:val="32"/>
        </w:rPr>
        <w:t>（一）</w:t>
      </w:r>
      <w:r w:rsidRPr="00680723">
        <w:rPr>
          <w:rFonts w:ascii="仿宋_GB2312" w:eastAsia="仿宋_GB2312" w:hAnsi="Times New Roman" w:cs="宋体" w:hint="eastAsia"/>
          <w:color w:val="000000"/>
          <w:kern w:val="0"/>
          <w:sz w:val="32"/>
          <w:szCs w:val="32"/>
        </w:rPr>
        <w:t>社区是指一定数量居民组成的、具有内在互动关系和文化维系力的地域生活共同体。</w:t>
      </w: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kern w:val="0"/>
          <w:sz w:val="32"/>
          <w:szCs w:val="32"/>
        </w:rPr>
        <w:t>（二）社区服务是指依托各类服务设施，以特殊和困难人群为重点对象、以满足全体居民物质文化生活需求为目的，由政府主导、推动和扶持，各类社会主体共同参与提供的各种服务。本标准所指的社区服务主要包括社区公共服务、居民自助互助服务和便民利民的社区商业服务。</w:t>
      </w: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kern w:val="0"/>
          <w:sz w:val="32"/>
          <w:szCs w:val="32"/>
        </w:rPr>
        <w:t>（三）社区（党群）服务中心是社区公共服务的重要提供主体之一，但系非社会实体单位。应将其打造为向全体社区居民（党员群众）提供多样化社区服务、满足其不同层次的需求、提高其生活质量、推动其参与社区治理的综合性服务平台。中心须根据不同类型社区的社会人口特征，设计和实施富有特色</w:t>
      </w:r>
      <w:r w:rsidRPr="00680723">
        <w:rPr>
          <w:rFonts w:ascii="仿宋_GB2312" w:eastAsia="仿宋_GB2312" w:hAnsi="Times New Roman" w:cs="宋体" w:hint="eastAsia"/>
          <w:kern w:val="0"/>
          <w:sz w:val="32"/>
          <w:szCs w:val="32"/>
        </w:rPr>
        <w:lastRenderedPageBreak/>
        <w:t>的服务项目。</w:t>
      </w: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kern w:val="0"/>
          <w:sz w:val="32"/>
          <w:szCs w:val="32"/>
        </w:rPr>
        <w:t>（四）社区（党群）服务中心的运营主体是具有独立法人资格、在深圳市级或区级民政部门登记成立的社会组织，或者居民委员会，其具体运营资格必须通过参加政府招投标而获得。</w:t>
      </w: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kern w:val="0"/>
          <w:sz w:val="32"/>
          <w:szCs w:val="32"/>
        </w:rPr>
        <w:t>（五）社区（党群）服务中心运营主体可争取和动员机关、企事业单位、业主自治组织及物业管理服务机构为社区服务提供场地、设施、资金、人力等支持资源，鼓励社区（党群）服务中心引入各类社会组织和以追求社会价值为目标的企业参与社区服务，并广泛开展社区志愿服务，形成多元化的服务供给模式。</w:t>
      </w:r>
    </w:p>
    <w:p w:rsidR="00630BEA" w:rsidRPr="00680723" w:rsidRDefault="00630BEA" w:rsidP="00630BEA">
      <w:pPr>
        <w:widowControl w:val="0"/>
        <w:snapToGrid w:val="0"/>
        <w:ind w:firstLine="640"/>
        <w:rPr>
          <w:rFonts w:ascii="黑体" w:eastAsia="黑体" w:hAnsi="Times New Roman" w:cs="宋体"/>
          <w:kern w:val="0"/>
          <w:sz w:val="32"/>
          <w:szCs w:val="32"/>
        </w:rPr>
      </w:pPr>
      <w:r w:rsidRPr="00680723">
        <w:rPr>
          <w:rFonts w:ascii="黑体" w:eastAsia="黑体" w:hAnsi="Times New Roman" w:cs="宋体" w:hint="eastAsia"/>
          <w:bCs/>
          <w:kern w:val="0"/>
          <w:sz w:val="32"/>
          <w:szCs w:val="32"/>
        </w:rPr>
        <w:t>二、场地及硬件配置</w:t>
      </w: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kern w:val="0"/>
          <w:sz w:val="32"/>
          <w:szCs w:val="32"/>
        </w:rPr>
        <w:t>（一）社区（党群）服务中心场地设施建设由各区（新区）主管部门作为责任主体统一规划和组织实施，街道办事处具体落实和协调。中心原则上应选</w:t>
      </w:r>
      <w:proofErr w:type="gramStart"/>
      <w:r w:rsidRPr="00680723">
        <w:rPr>
          <w:rFonts w:ascii="仿宋_GB2312" w:eastAsia="仿宋_GB2312" w:hAnsi="Times New Roman" w:cs="宋体" w:hint="eastAsia"/>
          <w:kern w:val="0"/>
          <w:sz w:val="32"/>
          <w:szCs w:val="32"/>
        </w:rPr>
        <w:t>取居民</w:t>
      </w:r>
      <w:proofErr w:type="gramEnd"/>
      <w:r w:rsidRPr="00680723">
        <w:rPr>
          <w:rFonts w:ascii="仿宋_GB2312" w:eastAsia="仿宋_GB2312" w:hAnsi="Times New Roman" w:cs="宋体" w:hint="eastAsia"/>
          <w:kern w:val="0"/>
          <w:sz w:val="32"/>
          <w:szCs w:val="32"/>
        </w:rPr>
        <w:t>集中、交通便利的场所，并应具备配套的公共活动区域及室外活动场地，周围环境应整洁美观，道路平整，绿化良好。</w:t>
      </w: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kern w:val="0"/>
          <w:sz w:val="32"/>
          <w:szCs w:val="32"/>
        </w:rPr>
        <w:t>（二）社区（党群）服务中心门前显著位置挂设“深圳市社区（党群）服务中心”的标识，并统一中心名称，命名原则为：识别名（所在街道+社区名）+社区（党群）服务中心（已形成服务项目品牌的，将品牌名前置)；附有场地平面图和服务项目简介，并在社区主要道路上设置引导标识。中心其他标识或牌匾的挂设工作由各区主管部门统筹指导。</w:t>
      </w: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kern w:val="0"/>
          <w:sz w:val="32"/>
          <w:szCs w:val="32"/>
        </w:rPr>
        <w:t>（三）社区（党群）服务中心可利用室内场地总面积应不</w:t>
      </w:r>
      <w:r w:rsidRPr="00680723">
        <w:rPr>
          <w:rFonts w:ascii="仿宋_GB2312" w:eastAsia="仿宋_GB2312" w:hAnsi="Times New Roman" w:cs="宋体" w:hint="eastAsia"/>
          <w:kern w:val="0"/>
          <w:sz w:val="32"/>
          <w:szCs w:val="32"/>
        </w:rPr>
        <w:lastRenderedPageBreak/>
        <w:t>低于400平方米，有独立办公室，合理规划或协调服务接待、个体辅导、团体活动等场所或区域，并配备消防设施、逃生路线标识、无障碍通道等，内部布局合理，环境明亮整洁，符合公共场所安全及卫生等相关规定要求。</w:t>
      </w: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kern w:val="0"/>
          <w:sz w:val="32"/>
          <w:szCs w:val="32"/>
        </w:rPr>
        <w:t>（四）社区（党群）服务中心应充分整合利用现有社区服务资源，有关部门应协助、支持社区（党群）服务中心对星光老年之家、党员活动室、社区图书室等场地及硬件设施进行统一规划，有效使用。</w:t>
      </w:r>
    </w:p>
    <w:p w:rsidR="00630BEA" w:rsidRPr="00680723" w:rsidRDefault="00630BEA" w:rsidP="00630BEA">
      <w:pPr>
        <w:widowControl w:val="0"/>
        <w:snapToGrid w:val="0"/>
        <w:ind w:firstLine="709"/>
        <w:rPr>
          <w:rFonts w:ascii="黑体" w:eastAsia="黑体" w:hAnsi="Times New Roman" w:cs="宋体"/>
          <w:kern w:val="0"/>
          <w:sz w:val="32"/>
          <w:szCs w:val="32"/>
        </w:rPr>
      </w:pPr>
      <w:r w:rsidRPr="00680723">
        <w:rPr>
          <w:rFonts w:ascii="黑体" w:eastAsia="黑体" w:hAnsi="Times New Roman" w:cs="宋体" w:hint="eastAsia"/>
          <w:bCs/>
          <w:kern w:val="0"/>
          <w:sz w:val="32"/>
          <w:szCs w:val="32"/>
        </w:rPr>
        <w:t>三、人力资源配置</w:t>
      </w: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kern w:val="0"/>
          <w:sz w:val="32"/>
          <w:szCs w:val="32"/>
        </w:rPr>
        <w:t>（一）社区（党群）服务中心应建立以专业社会工作者（已获助理社工师及以上职称，并已在深圳市社会工作者协会注册的社会工作者）为骨干的运营团队，原则上应配置至少6名全职工作人员（其中注册社工应不少于3名；其他全职工作人员应具备一定的文化素质，具体条件根据社区服务实际需要在服务购买合同中明确规定），并可招募若干兼职人员和志愿服务人员（义工），鼓励配置和发展跨专业的复合型人才；中心负责人应由专业社会工作者担任。各区主管部门可根据实际情况，确立中心工作人员的待遇标准、督导培训、监督管理等激励和监管措施，不断优化人才队伍结构。</w:t>
      </w: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kern w:val="0"/>
          <w:sz w:val="32"/>
          <w:szCs w:val="32"/>
        </w:rPr>
        <w:t>（二）应确立社工师（员）、康复师（员）、护理师（员）、心理咨询师等社区服务人才的专业地位，通过提高待遇、规范准入、加强培训、严格监管等措施，建立一支专业素质优良、职业道德高尚和规模结构合理的社区服务团队。</w:t>
      </w: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kern w:val="0"/>
          <w:sz w:val="32"/>
          <w:szCs w:val="32"/>
        </w:rPr>
        <w:lastRenderedPageBreak/>
        <w:t>（三）应发展壮大社区志愿者（义工）队伍，逐步形成“社工引领义工、义工协助社工”的社区服务模式，并建立本社区（党群）服务中心的志愿者（义工）队伍管理体系。</w:t>
      </w: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kern w:val="0"/>
          <w:sz w:val="32"/>
          <w:szCs w:val="32"/>
        </w:rPr>
        <w:t>（四）社区（党群）服务中心应配置项目顾问，按照一定的周期由市社会工作主管部门委托市社工协会，按照相关规范配备。</w:t>
      </w:r>
    </w:p>
    <w:p w:rsidR="00630BEA" w:rsidRPr="00680723" w:rsidRDefault="00630BEA" w:rsidP="00630BEA">
      <w:pPr>
        <w:widowControl w:val="0"/>
        <w:snapToGrid w:val="0"/>
        <w:ind w:firstLine="640"/>
        <w:rPr>
          <w:rFonts w:ascii="黑体" w:eastAsia="黑体" w:hAnsi="Times New Roman" w:cs="宋体"/>
          <w:kern w:val="0"/>
          <w:sz w:val="32"/>
          <w:szCs w:val="32"/>
        </w:rPr>
      </w:pPr>
      <w:r w:rsidRPr="00680723">
        <w:rPr>
          <w:rFonts w:ascii="黑体" w:eastAsia="黑体" w:hAnsi="Times New Roman" w:cs="宋体" w:hint="eastAsia"/>
          <w:bCs/>
          <w:kern w:val="0"/>
          <w:sz w:val="32"/>
          <w:szCs w:val="32"/>
        </w:rPr>
        <w:t>四、营运管理制度建设</w:t>
      </w: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kern w:val="0"/>
          <w:sz w:val="32"/>
          <w:szCs w:val="32"/>
        </w:rPr>
        <w:t>社区（党群）服务中心应当建立以下制度：</w:t>
      </w: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b/>
          <w:kern w:val="0"/>
          <w:sz w:val="32"/>
          <w:szCs w:val="32"/>
        </w:rPr>
        <w:t>（一）场地管理制度。</w:t>
      </w:r>
      <w:r w:rsidRPr="00680723">
        <w:rPr>
          <w:rFonts w:ascii="仿宋_GB2312" w:eastAsia="仿宋_GB2312" w:hAnsi="Times New Roman" w:cs="宋体" w:hint="eastAsia"/>
          <w:kern w:val="0"/>
          <w:sz w:val="32"/>
          <w:szCs w:val="32"/>
        </w:rPr>
        <w:t>制定场地（含各功能室）使用与管理制度，对场地的使用、管理（含安全与卫生管理）、维护等进行规范，明确各相关方权责。</w:t>
      </w: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b/>
          <w:kern w:val="0"/>
          <w:sz w:val="32"/>
          <w:szCs w:val="32"/>
        </w:rPr>
        <w:t>（二）</w:t>
      </w:r>
      <w:r w:rsidRPr="00680723">
        <w:rPr>
          <w:rFonts w:ascii="仿宋_GB2312" w:eastAsia="仿宋_GB2312" w:hAnsi="Times New Roman" w:cs="宋体" w:hint="eastAsia"/>
          <w:b/>
          <w:color w:val="000000"/>
          <w:kern w:val="0"/>
          <w:sz w:val="32"/>
          <w:szCs w:val="32"/>
        </w:rPr>
        <w:t>服务项目遴选制度。</w:t>
      </w:r>
      <w:r w:rsidRPr="00680723">
        <w:rPr>
          <w:rFonts w:ascii="仿宋_GB2312" w:eastAsia="仿宋_GB2312" w:hAnsi="Times New Roman" w:cs="宋体" w:hint="eastAsia"/>
          <w:kern w:val="0"/>
          <w:sz w:val="32"/>
          <w:szCs w:val="32"/>
        </w:rPr>
        <w:t xml:space="preserve">根据社区（党群）服务中心服务项目遴选工作的文件要求，各区主管部门统一指导建立服务项目遴选范围、遴选程序、动态调整等方面的具体服务项目遴选制度，发挥居民群众参与社区治理的积极性。            </w:t>
      </w:r>
    </w:p>
    <w:p w:rsidR="00630BEA" w:rsidRPr="00680723" w:rsidRDefault="00630BEA" w:rsidP="00630BEA">
      <w:pPr>
        <w:widowControl w:val="0"/>
        <w:snapToGrid w:val="0"/>
        <w:ind w:firstLine="640"/>
        <w:rPr>
          <w:rFonts w:ascii="仿宋_GB2312" w:eastAsia="仿宋_GB2312" w:hAnsi="Times New Roman" w:cs="宋体"/>
          <w:kern w:val="0"/>
          <w:sz w:val="28"/>
          <w:szCs w:val="28"/>
        </w:rPr>
      </w:pPr>
      <w:r w:rsidRPr="00680723">
        <w:rPr>
          <w:rFonts w:ascii="仿宋_GB2312" w:eastAsia="仿宋_GB2312" w:hAnsi="Times New Roman" w:cs="宋体" w:hint="eastAsia"/>
          <w:b/>
          <w:kern w:val="0"/>
          <w:sz w:val="32"/>
          <w:szCs w:val="32"/>
        </w:rPr>
        <w:t>（三）</w:t>
      </w:r>
      <w:r w:rsidRPr="00680723">
        <w:rPr>
          <w:rFonts w:ascii="仿宋_GB2312" w:eastAsia="仿宋_GB2312" w:hAnsi="Times New Roman" w:cs="宋体" w:hint="eastAsia"/>
          <w:b/>
          <w:color w:val="000000"/>
          <w:kern w:val="0"/>
          <w:sz w:val="32"/>
          <w:szCs w:val="32"/>
        </w:rPr>
        <w:t>利益相关方管理制度。</w:t>
      </w:r>
      <w:r w:rsidRPr="00680723">
        <w:rPr>
          <w:rFonts w:ascii="仿宋_GB2312" w:eastAsia="仿宋_GB2312" w:hAnsi="Times New Roman" w:cs="宋体" w:hint="eastAsia"/>
          <w:color w:val="000000"/>
          <w:kern w:val="0"/>
          <w:sz w:val="32"/>
          <w:szCs w:val="32"/>
        </w:rPr>
        <w:t>建立与服务对象及其家庭、社区居民、社会组织、企事业单位和社区事务管理机构等利益相关主体的</w:t>
      </w:r>
      <w:r w:rsidRPr="00680723">
        <w:rPr>
          <w:rFonts w:ascii="仿宋_GB2312" w:eastAsia="仿宋_GB2312" w:hAnsi="Times New Roman" w:cs="宋体" w:hint="eastAsia"/>
          <w:kern w:val="0"/>
          <w:sz w:val="32"/>
          <w:szCs w:val="32"/>
        </w:rPr>
        <w:t>信息公开、意见征集、沟通反馈和监督评议机制。</w:t>
      </w:r>
    </w:p>
    <w:p w:rsidR="00630BEA" w:rsidRPr="00680723" w:rsidRDefault="00630BEA" w:rsidP="00630BEA">
      <w:pPr>
        <w:widowControl w:val="0"/>
        <w:snapToGrid w:val="0"/>
        <w:ind w:firstLine="640"/>
        <w:rPr>
          <w:rFonts w:ascii="仿宋_GB2312" w:eastAsia="仿宋_GB2312" w:hAnsi="Times New Roman" w:cs="宋体"/>
          <w:b/>
          <w:kern w:val="0"/>
          <w:sz w:val="32"/>
          <w:szCs w:val="32"/>
        </w:rPr>
      </w:pPr>
      <w:r w:rsidRPr="00680723">
        <w:rPr>
          <w:rFonts w:ascii="仿宋_GB2312" w:eastAsia="仿宋_GB2312" w:hAnsi="Times New Roman" w:cs="宋体" w:hint="eastAsia"/>
          <w:b/>
          <w:kern w:val="0"/>
          <w:sz w:val="32"/>
          <w:szCs w:val="32"/>
        </w:rPr>
        <w:t>（四）合作伙伴引入与管理制</w:t>
      </w:r>
      <w:r w:rsidRPr="00680723">
        <w:rPr>
          <w:rFonts w:ascii="仿宋_GB2312" w:eastAsia="仿宋_GB2312" w:hAnsi="Times New Roman" w:cs="宋体" w:hint="eastAsia"/>
          <w:b/>
          <w:color w:val="000000"/>
          <w:kern w:val="0"/>
          <w:sz w:val="32"/>
          <w:szCs w:val="32"/>
        </w:rPr>
        <w:t>度</w:t>
      </w:r>
      <w:r w:rsidRPr="00680723">
        <w:rPr>
          <w:rFonts w:ascii="仿宋_GB2312" w:eastAsia="仿宋_GB2312" w:hAnsi="Times New Roman" w:cs="宋体" w:hint="eastAsia"/>
          <w:b/>
          <w:kern w:val="0"/>
          <w:sz w:val="32"/>
          <w:szCs w:val="32"/>
        </w:rPr>
        <w:t>。</w:t>
      </w:r>
      <w:r w:rsidRPr="00680723">
        <w:rPr>
          <w:rFonts w:ascii="仿宋_GB2312" w:eastAsia="仿宋_GB2312" w:hAnsi="Times New Roman" w:cs="宋体" w:hint="eastAsia"/>
          <w:kern w:val="0"/>
          <w:sz w:val="32"/>
          <w:szCs w:val="32"/>
        </w:rPr>
        <w:t>建立包括社区需求发布、合作伙伴资质调查与筛选、项目计划审核、签约合作、沟通反馈、监测评估、续约与解约机制等内容的合作伙伴引入与管理机制，并对中心及合作伙伴的权责予以明确说明。</w:t>
      </w:r>
    </w:p>
    <w:p w:rsidR="00630BEA" w:rsidRPr="00680723" w:rsidRDefault="00630BEA" w:rsidP="00630BEA">
      <w:pPr>
        <w:widowControl w:val="0"/>
        <w:snapToGrid w:val="0"/>
        <w:ind w:firstLine="640"/>
        <w:rPr>
          <w:rFonts w:ascii="仿宋_GB2312" w:eastAsia="仿宋_GB2312" w:hAnsi="Times New Roman" w:cs="宋体"/>
          <w:color w:val="000000"/>
          <w:kern w:val="0"/>
          <w:sz w:val="32"/>
          <w:szCs w:val="32"/>
        </w:rPr>
      </w:pPr>
      <w:r w:rsidRPr="00680723">
        <w:rPr>
          <w:rFonts w:ascii="仿宋_GB2312" w:eastAsia="仿宋_GB2312" w:hAnsi="Times New Roman" w:cs="宋体" w:hint="eastAsia"/>
          <w:b/>
          <w:kern w:val="0"/>
          <w:sz w:val="32"/>
          <w:szCs w:val="32"/>
        </w:rPr>
        <w:t>（五）</w:t>
      </w:r>
      <w:r w:rsidRPr="00680723">
        <w:rPr>
          <w:rFonts w:ascii="仿宋_GB2312" w:eastAsia="仿宋_GB2312" w:hAnsi="Times New Roman" w:cs="宋体" w:hint="eastAsia"/>
          <w:b/>
          <w:color w:val="000000"/>
          <w:kern w:val="0"/>
          <w:sz w:val="32"/>
          <w:szCs w:val="32"/>
        </w:rPr>
        <w:t>志愿者（义工）管理制度。</w:t>
      </w:r>
      <w:r w:rsidRPr="00680723">
        <w:rPr>
          <w:rFonts w:ascii="仿宋_GB2312" w:eastAsia="仿宋_GB2312" w:hAnsi="Times New Roman" w:cs="宋体" w:hint="eastAsia"/>
          <w:color w:val="000000"/>
          <w:kern w:val="0"/>
          <w:sz w:val="32"/>
          <w:szCs w:val="32"/>
        </w:rPr>
        <w:t>根据民政部下发的《志</w:t>
      </w:r>
      <w:r w:rsidRPr="00680723">
        <w:rPr>
          <w:rFonts w:ascii="仿宋_GB2312" w:eastAsia="仿宋_GB2312" w:hAnsi="Times New Roman" w:cs="宋体" w:hint="eastAsia"/>
          <w:color w:val="000000"/>
          <w:kern w:val="0"/>
          <w:sz w:val="32"/>
          <w:szCs w:val="32"/>
        </w:rPr>
        <w:lastRenderedPageBreak/>
        <w:t>愿服务记录办法》及志愿服务记录制度试点工作的有关要求，建立包括志愿者申请、注册与服务准则，个人信息与志愿服务记录、查询、证明及管理，能力建设、回馈激励与惩罚退出等内容的志愿者管理制度。</w:t>
      </w: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b/>
          <w:kern w:val="0"/>
          <w:sz w:val="32"/>
          <w:szCs w:val="32"/>
        </w:rPr>
        <w:t>（六）服务质量内控制度。</w:t>
      </w:r>
      <w:r w:rsidRPr="00680723">
        <w:rPr>
          <w:rFonts w:ascii="仿宋_GB2312" w:eastAsia="仿宋_GB2312" w:hAnsi="Times New Roman" w:cs="宋体" w:hint="eastAsia"/>
          <w:kern w:val="0"/>
          <w:sz w:val="32"/>
          <w:szCs w:val="32"/>
        </w:rPr>
        <w:t>建立动态的社区调研、需求评估与服务项目策划机制；建立服务项目过程管理机制、内部成效测评及总结机制；制定详细、操作性强的工作流程指引，依据规范的工作程序开展服务；与服务对象签订服务知情同意书，并征询是否同意接受第三方评估机构的服务成效调查。</w:t>
      </w:r>
    </w:p>
    <w:p w:rsidR="00630BEA" w:rsidRPr="00680723" w:rsidRDefault="00630BEA" w:rsidP="00630BEA">
      <w:pPr>
        <w:widowControl w:val="0"/>
        <w:snapToGrid w:val="0"/>
        <w:ind w:firstLine="640"/>
        <w:rPr>
          <w:rFonts w:ascii="仿宋_GB2312" w:eastAsia="仿宋_GB2312" w:hAnsi="Times New Roman" w:cs="宋体"/>
          <w:color w:val="000000"/>
          <w:kern w:val="0"/>
          <w:sz w:val="32"/>
          <w:szCs w:val="32"/>
        </w:rPr>
      </w:pPr>
      <w:r w:rsidRPr="00680723">
        <w:rPr>
          <w:rFonts w:ascii="仿宋_GB2312" w:eastAsia="仿宋_GB2312" w:hAnsi="Times New Roman" w:cs="宋体" w:hint="eastAsia"/>
          <w:b/>
          <w:kern w:val="0"/>
          <w:sz w:val="32"/>
          <w:szCs w:val="32"/>
        </w:rPr>
        <w:t>（七）</w:t>
      </w:r>
      <w:r w:rsidRPr="00680723">
        <w:rPr>
          <w:rFonts w:ascii="仿宋_GB2312" w:eastAsia="仿宋_GB2312" w:hAnsi="Times New Roman" w:cs="宋体" w:hint="eastAsia"/>
          <w:b/>
          <w:color w:val="000000"/>
          <w:kern w:val="0"/>
          <w:sz w:val="32"/>
          <w:szCs w:val="32"/>
        </w:rPr>
        <w:t>信息化技术应用管理制度。</w:t>
      </w:r>
      <w:r w:rsidRPr="00680723">
        <w:rPr>
          <w:rFonts w:ascii="仿宋_GB2312" w:eastAsia="仿宋_GB2312" w:hAnsi="Times New Roman" w:cs="宋体" w:hint="eastAsia"/>
          <w:color w:val="000000"/>
          <w:kern w:val="0"/>
          <w:sz w:val="32"/>
          <w:szCs w:val="32"/>
        </w:rPr>
        <w:t>制定社区家园网、呼援通社区服务系统、志愿者管理系统等管理操作办法，明确专人职责，保证与“12349”公益服务平台、社区居民、社区服务商的联系畅通，为社区提供方便快捷、优质放心的社区服务。</w:t>
      </w:r>
    </w:p>
    <w:p w:rsidR="00630BEA" w:rsidRPr="00680723" w:rsidRDefault="00630BEA" w:rsidP="00630BEA">
      <w:pPr>
        <w:widowControl w:val="0"/>
        <w:snapToGrid w:val="0"/>
        <w:ind w:firstLine="640"/>
        <w:rPr>
          <w:rFonts w:ascii="仿宋_GB2312" w:eastAsia="仿宋_GB2312" w:hAnsi="Times New Roman" w:cs="宋体"/>
          <w:color w:val="000000"/>
          <w:kern w:val="0"/>
          <w:sz w:val="32"/>
          <w:szCs w:val="32"/>
        </w:rPr>
      </w:pPr>
      <w:r w:rsidRPr="00680723">
        <w:rPr>
          <w:rFonts w:ascii="仿宋_GB2312" w:eastAsia="仿宋_GB2312" w:hAnsi="Times New Roman" w:cs="宋体" w:hint="eastAsia"/>
          <w:b/>
          <w:bCs/>
          <w:color w:val="000000"/>
          <w:kern w:val="0"/>
          <w:sz w:val="32"/>
          <w:szCs w:val="32"/>
        </w:rPr>
        <w:t>（八）人力资源管理制度。</w:t>
      </w:r>
      <w:r w:rsidRPr="00680723">
        <w:rPr>
          <w:rFonts w:ascii="仿宋_GB2312" w:eastAsia="仿宋_GB2312" w:hAnsi="Times New Roman" w:cs="宋体" w:hint="eastAsia"/>
          <w:color w:val="000000"/>
          <w:kern w:val="0"/>
          <w:sz w:val="32"/>
          <w:szCs w:val="32"/>
        </w:rPr>
        <w:t>建立包含人员招聘、培训、督导、考核、激励、解聘、申诉等方面的人力资源管理制度。</w:t>
      </w:r>
    </w:p>
    <w:p w:rsidR="00630BEA" w:rsidRPr="00680723" w:rsidRDefault="00630BEA" w:rsidP="00630BEA">
      <w:pPr>
        <w:widowControl w:val="0"/>
        <w:snapToGrid w:val="0"/>
        <w:ind w:firstLine="640"/>
        <w:rPr>
          <w:rFonts w:ascii="仿宋_GB2312" w:eastAsia="仿宋_GB2312" w:hAnsi="Times New Roman" w:cs="宋体"/>
          <w:color w:val="000000"/>
          <w:kern w:val="0"/>
          <w:sz w:val="32"/>
          <w:szCs w:val="32"/>
        </w:rPr>
      </w:pPr>
      <w:r w:rsidRPr="00680723">
        <w:rPr>
          <w:rFonts w:ascii="仿宋_GB2312" w:eastAsia="仿宋_GB2312" w:hAnsi="Times New Roman" w:cs="宋体" w:hint="eastAsia"/>
          <w:b/>
          <w:bCs/>
          <w:kern w:val="0"/>
          <w:sz w:val="32"/>
          <w:szCs w:val="32"/>
        </w:rPr>
        <w:t>（九）财务管理制度。</w:t>
      </w:r>
      <w:r w:rsidRPr="00680723">
        <w:rPr>
          <w:rFonts w:ascii="仿宋_GB2312" w:eastAsia="仿宋_GB2312" w:hAnsi="Times New Roman" w:cs="宋体" w:hint="eastAsia"/>
          <w:kern w:val="0"/>
          <w:sz w:val="32"/>
          <w:szCs w:val="32"/>
        </w:rPr>
        <w:t>建立健全符合《民间非营利组织会计制度》要求的，包括项目独立预决算、专项经费收支、财务审核、固定资产等方面在内的财务管理制度，并进行专项审计，明确运营主体变更或项目结束后固定资产的归属及去向。</w:t>
      </w: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b/>
          <w:kern w:val="0"/>
          <w:sz w:val="32"/>
          <w:szCs w:val="32"/>
        </w:rPr>
        <w:t>（十）档案管理制度。</w:t>
      </w:r>
      <w:r w:rsidRPr="00680723">
        <w:rPr>
          <w:rFonts w:ascii="仿宋_GB2312" w:eastAsia="仿宋_GB2312" w:hAnsi="Times New Roman" w:cs="宋体" w:hint="eastAsia"/>
          <w:kern w:val="0"/>
          <w:sz w:val="32"/>
          <w:szCs w:val="32"/>
        </w:rPr>
        <w:t>制定包含电子、纸质及其他媒介形式，涵盖行政、财务、人事、服务、合作伙伴等内容，以及对档案保管、使用与维护等方面做出详细规定的制度性文件。</w:t>
      </w:r>
    </w:p>
    <w:p w:rsidR="00630BEA" w:rsidRPr="00680723" w:rsidRDefault="00630BEA" w:rsidP="00630BEA">
      <w:pPr>
        <w:widowControl w:val="0"/>
        <w:snapToGrid w:val="0"/>
        <w:ind w:firstLine="640"/>
        <w:rPr>
          <w:rFonts w:ascii="黑体" w:eastAsia="黑体" w:hAnsi="Times New Roman" w:cs="宋体"/>
          <w:kern w:val="0"/>
          <w:sz w:val="32"/>
          <w:szCs w:val="32"/>
        </w:rPr>
      </w:pPr>
      <w:r w:rsidRPr="00680723">
        <w:rPr>
          <w:rFonts w:ascii="黑体" w:eastAsia="黑体" w:hAnsi="Times New Roman" w:cs="宋体" w:hint="eastAsia"/>
          <w:bCs/>
          <w:kern w:val="0"/>
          <w:sz w:val="32"/>
          <w:szCs w:val="32"/>
        </w:rPr>
        <w:t>五、主要服务内容</w:t>
      </w:r>
    </w:p>
    <w:p w:rsidR="00630BEA" w:rsidRPr="00680723" w:rsidRDefault="00630BEA" w:rsidP="00630BEA">
      <w:pPr>
        <w:widowControl w:val="0"/>
        <w:snapToGrid w:val="0"/>
        <w:ind w:firstLine="640"/>
        <w:rPr>
          <w:rFonts w:ascii="仿宋_GB2312" w:eastAsia="仿宋_GB2312" w:hAnsi="Times New Roman" w:cs="宋体"/>
          <w:color w:val="000000"/>
          <w:kern w:val="0"/>
          <w:sz w:val="32"/>
          <w:szCs w:val="32"/>
        </w:rPr>
      </w:pPr>
      <w:r w:rsidRPr="00680723">
        <w:rPr>
          <w:rFonts w:ascii="仿宋_GB2312" w:eastAsia="仿宋_GB2312" w:hAnsi="Times New Roman" w:cs="宋体" w:hint="eastAsia"/>
          <w:kern w:val="0"/>
          <w:sz w:val="32"/>
          <w:szCs w:val="32"/>
        </w:rPr>
        <w:lastRenderedPageBreak/>
        <w:t>（一）社区（党群）服务中心提供的社区公共服务包括党员群众、老人、残疾人、妇女儿童及家庭、青少年、优抚对象等基础人群服务（服务内容建议详见表</w:t>
      </w:r>
      <w:proofErr w:type="gramStart"/>
      <w:r w:rsidRPr="00680723">
        <w:rPr>
          <w:rFonts w:ascii="仿宋_GB2312" w:eastAsia="仿宋_GB2312" w:hAnsi="Times New Roman" w:cs="宋体" w:hint="eastAsia"/>
          <w:kern w:val="0"/>
          <w:sz w:val="32"/>
          <w:szCs w:val="32"/>
        </w:rPr>
        <w:t>一</w:t>
      </w:r>
      <w:proofErr w:type="gramEnd"/>
      <w:r w:rsidRPr="00680723">
        <w:rPr>
          <w:rFonts w:ascii="仿宋_GB2312" w:eastAsia="仿宋_GB2312" w:hAnsi="Times New Roman" w:cs="宋体" w:hint="eastAsia"/>
          <w:kern w:val="0"/>
          <w:sz w:val="32"/>
          <w:szCs w:val="32"/>
        </w:rPr>
        <w:t>至表六），药物滥用者、社区矫正人员、失业及特困人员等特定人群服务（服务内容建议详见表七），以及居民自助互助服务（服务内容建议详见表八）。以上公共服务，原则上免收费。</w:t>
      </w: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kern w:val="0"/>
          <w:sz w:val="32"/>
          <w:szCs w:val="32"/>
        </w:rPr>
        <w:t>（二）社区（党群）服务中心开展的各类服务项目所涉及服务大项应不少于12项（其中居民自助互助服务必须涉及所有服务大项），服务细项应不少于30个，涉及服务大项不足12项、服务细项不足30个的须向区主管部门申请报备，说明理由。老人、残疾人、妇女儿童及家庭、青少年服务与居民自助互助服务为必须提供项目（某个特定人群数量少于20人的除外，但必须提供转介服务）。</w:t>
      </w: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kern w:val="0"/>
          <w:sz w:val="32"/>
          <w:szCs w:val="32"/>
        </w:rPr>
        <w:t>（三）社区（党群）服务中心在各领域服务量的分配上应充分考虑所在社区的类型，根据纯居民社区、城中村社区、</w:t>
      </w:r>
      <w:proofErr w:type="gramStart"/>
      <w:r w:rsidRPr="00680723">
        <w:rPr>
          <w:rFonts w:ascii="仿宋_GB2312" w:eastAsia="仿宋_GB2312" w:hAnsi="Times New Roman" w:cs="宋体" w:hint="eastAsia"/>
          <w:kern w:val="0"/>
          <w:sz w:val="32"/>
          <w:szCs w:val="32"/>
        </w:rPr>
        <w:t>村改居社区</w:t>
      </w:r>
      <w:proofErr w:type="gramEnd"/>
      <w:r w:rsidRPr="00680723">
        <w:rPr>
          <w:rFonts w:ascii="仿宋_GB2312" w:eastAsia="仿宋_GB2312" w:hAnsi="Times New Roman" w:cs="宋体" w:hint="eastAsia"/>
          <w:kern w:val="0"/>
          <w:sz w:val="32"/>
          <w:szCs w:val="32"/>
        </w:rPr>
        <w:t>、工业社区、混合型社区等不同社区的社会人口特征，有所侧重地安排相应服务内容（详见表九）。</w:t>
      </w: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kern w:val="0"/>
          <w:sz w:val="32"/>
          <w:szCs w:val="32"/>
        </w:rPr>
        <w:t>（四）社区（党群）服务中心运营机构可在中心平台上引入其他服务项目，但须配套与项目有关的经费、人员，且原则上不能超出中心的项目承载容量。运营机构在中心平台上引入的其他服务项目，须以专项报告予以说明，并记录存档。</w:t>
      </w:r>
      <w:r w:rsidRPr="00220CF6">
        <w:rPr>
          <w:rFonts w:ascii="仿宋_GB2312" w:eastAsia="仿宋_GB2312" w:hAnsi="Times New Roman" w:cs="宋体" w:hint="eastAsia"/>
          <w:kern w:val="0"/>
          <w:sz w:val="32"/>
          <w:szCs w:val="32"/>
        </w:rPr>
        <w:t>各级主管部门应积极支持，并在社区服务中心评估中予以倾斜。</w:t>
      </w:r>
    </w:p>
    <w:p w:rsidR="00630BEA" w:rsidRPr="00680723" w:rsidRDefault="00630BEA" w:rsidP="00630BEA">
      <w:pPr>
        <w:widowControl w:val="0"/>
        <w:snapToGrid w:val="0"/>
        <w:ind w:firstLine="640"/>
        <w:rPr>
          <w:rFonts w:ascii="黑体" w:eastAsia="黑体" w:hAnsi="Times New Roman" w:cs="宋体"/>
          <w:kern w:val="0"/>
          <w:sz w:val="32"/>
          <w:szCs w:val="32"/>
        </w:rPr>
      </w:pPr>
      <w:r w:rsidRPr="00680723">
        <w:rPr>
          <w:rFonts w:ascii="黑体" w:eastAsia="黑体" w:hAnsi="Times New Roman" w:cs="宋体" w:hint="eastAsia"/>
          <w:bCs/>
          <w:kern w:val="0"/>
          <w:sz w:val="32"/>
          <w:szCs w:val="32"/>
        </w:rPr>
        <w:t>六、信息平台支持</w:t>
      </w:r>
    </w:p>
    <w:p w:rsidR="00630BEA" w:rsidRPr="00680723" w:rsidRDefault="00630BEA" w:rsidP="00630BEA">
      <w:pPr>
        <w:widowControl w:val="0"/>
        <w:snapToGrid w:val="0"/>
        <w:ind w:firstLine="640"/>
        <w:rPr>
          <w:rFonts w:ascii="黑体" w:eastAsia="黑体" w:hAnsi="Times New Roman" w:cs="宋体"/>
          <w:kern w:val="0"/>
          <w:sz w:val="32"/>
          <w:szCs w:val="32"/>
        </w:rPr>
      </w:pPr>
      <w:r w:rsidRPr="00680723">
        <w:rPr>
          <w:rFonts w:ascii="仿宋_GB2312" w:eastAsia="仿宋_GB2312" w:hAnsi="Times New Roman" w:cs="宋体" w:hint="eastAsia"/>
          <w:kern w:val="0"/>
          <w:sz w:val="32"/>
          <w:szCs w:val="32"/>
        </w:rPr>
        <w:lastRenderedPageBreak/>
        <w:t>（一）社区（党群）服务中心应建立有效的社区服务信息公开机制，并通过宣传、指导社区居民安装和使用信息终端设备，建立与社区家园网、“12349”公益服务平台等信息资源平台的联结，从而实现对各类社区服务资源的整合调配与民意收集及反馈功能，建立“需求导向、业务分流、实时反馈、服务跟踪、系统考评、公众监督”的运作机制。</w:t>
      </w: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kern w:val="0"/>
          <w:sz w:val="32"/>
          <w:szCs w:val="32"/>
        </w:rPr>
        <w:t>（二）社区（党群）服务中心应负责中心及所在社区的社区</w:t>
      </w:r>
      <w:proofErr w:type="gramStart"/>
      <w:r w:rsidRPr="00680723">
        <w:rPr>
          <w:rFonts w:ascii="仿宋_GB2312" w:eastAsia="仿宋_GB2312" w:hAnsi="Times New Roman" w:cs="宋体" w:hint="eastAsia"/>
          <w:kern w:val="0"/>
          <w:sz w:val="32"/>
          <w:szCs w:val="32"/>
        </w:rPr>
        <w:t>家园网</w:t>
      </w:r>
      <w:proofErr w:type="gramEnd"/>
      <w:r w:rsidRPr="00680723">
        <w:rPr>
          <w:rFonts w:ascii="仿宋_GB2312" w:eastAsia="仿宋_GB2312" w:hAnsi="Times New Roman" w:cs="宋体" w:hint="eastAsia"/>
          <w:kern w:val="0"/>
          <w:sz w:val="32"/>
          <w:szCs w:val="32"/>
        </w:rPr>
        <w:t>和“12349”公益服务平台上的信息采集、更新与日常管理等工作。</w:t>
      </w: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kern w:val="0"/>
          <w:sz w:val="32"/>
          <w:szCs w:val="32"/>
        </w:rPr>
        <w:t>（三）社区（党群）服务中心应保证“12349”公益服务平台服务覆盖接受社区公共服务的70岁以上老人、残疾人、优抚对象、</w:t>
      </w:r>
      <w:proofErr w:type="gramStart"/>
      <w:r w:rsidRPr="00680723">
        <w:rPr>
          <w:rFonts w:ascii="仿宋_GB2312" w:eastAsia="仿宋_GB2312" w:hAnsi="Times New Roman" w:cs="宋体" w:hint="eastAsia"/>
          <w:kern w:val="0"/>
          <w:sz w:val="32"/>
          <w:szCs w:val="32"/>
        </w:rPr>
        <w:t>低保家庭</w:t>
      </w:r>
      <w:proofErr w:type="gramEnd"/>
      <w:r w:rsidRPr="00680723">
        <w:rPr>
          <w:rFonts w:ascii="仿宋_GB2312" w:eastAsia="仿宋_GB2312" w:hAnsi="Times New Roman" w:cs="宋体" w:hint="eastAsia"/>
          <w:kern w:val="0"/>
          <w:sz w:val="32"/>
          <w:szCs w:val="32"/>
        </w:rPr>
        <w:t>等人群，并为其免费安装信息终端设备及提供服务。</w:t>
      </w:r>
    </w:p>
    <w:p w:rsidR="00630BEA" w:rsidRPr="00680723" w:rsidRDefault="00630BEA" w:rsidP="00630BEA">
      <w:pPr>
        <w:widowControl w:val="0"/>
        <w:snapToGrid w:val="0"/>
        <w:ind w:firstLine="640"/>
        <w:rPr>
          <w:rFonts w:ascii="黑体" w:eastAsia="黑体" w:hAnsi="Times New Roman" w:cs="宋体"/>
          <w:bCs/>
          <w:kern w:val="0"/>
          <w:sz w:val="32"/>
          <w:szCs w:val="32"/>
        </w:rPr>
      </w:pPr>
      <w:r w:rsidRPr="00680723">
        <w:rPr>
          <w:rFonts w:ascii="黑体" w:eastAsia="黑体" w:hAnsi="Times New Roman" w:cs="宋体" w:hint="eastAsia"/>
          <w:bCs/>
          <w:kern w:val="0"/>
          <w:sz w:val="32"/>
          <w:szCs w:val="32"/>
        </w:rPr>
        <w:t>七、财务规范</w:t>
      </w: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b/>
          <w:bCs/>
          <w:kern w:val="0"/>
          <w:sz w:val="32"/>
          <w:szCs w:val="32"/>
        </w:rPr>
        <w:t>（一）经费使用比例。</w:t>
      </w:r>
      <w:r w:rsidRPr="00680723">
        <w:rPr>
          <w:rFonts w:ascii="仿宋_GB2312" w:eastAsia="仿宋_GB2312" w:hAnsi="Times New Roman" w:cs="宋体" w:hint="eastAsia"/>
          <w:kern w:val="0"/>
          <w:sz w:val="32"/>
          <w:szCs w:val="32"/>
        </w:rPr>
        <w:t>在政府购买或资助的公共服务项目的总费用中，员</w:t>
      </w:r>
      <w:proofErr w:type="gramStart"/>
      <w:r w:rsidRPr="00680723">
        <w:rPr>
          <w:rFonts w:ascii="仿宋_GB2312" w:eastAsia="仿宋_GB2312" w:hAnsi="Times New Roman" w:cs="宋体" w:hint="eastAsia"/>
          <w:kern w:val="0"/>
          <w:sz w:val="32"/>
          <w:szCs w:val="32"/>
        </w:rPr>
        <w:t>工薪酬与福利</w:t>
      </w:r>
      <w:proofErr w:type="gramEnd"/>
      <w:r w:rsidRPr="00680723">
        <w:rPr>
          <w:rFonts w:ascii="仿宋_GB2312" w:eastAsia="仿宋_GB2312" w:hAnsi="Times New Roman" w:cs="宋体" w:hint="eastAsia"/>
          <w:kern w:val="0"/>
          <w:sz w:val="32"/>
          <w:szCs w:val="32"/>
        </w:rPr>
        <w:t>经费和办公设施与场地运作成本应不低于项目总经费的80%（其中用于中心工作人员薪酬与福利的经费不低于75%），机构营运管理费不得超过10％，服务项目运作经费不得低于10%。项目节余经费应上报区主管部门，并顺延至下年度运营经费。</w:t>
      </w: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b/>
          <w:bCs/>
          <w:kern w:val="0"/>
          <w:sz w:val="32"/>
          <w:szCs w:val="32"/>
        </w:rPr>
        <w:t>（二）经营性便民利民服务项目。</w:t>
      </w:r>
      <w:r w:rsidRPr="00680723">
        <w:rPr>
          <w:rFonts w:ascii="仿宋_GB2312" w:eastAsia="仿宋_GB2312" w:hAnsi="Times New Roman" w:cs="宋体" w:hint="eastAsia"/>
          <w:kern w:val="0"/>
          <w:sz w:val="32"/>
          <w:szCs w:val="32"/>
        </w:rPr>
        <w:t>社区（党群）服务中心可自主运作或联合其他机构运营少量经营性便民利民服务项目（服务内容建议详见表十）。该类型项目须提前向街道办事处</w:t>
      </w:r>
      <w:r w:rsidRPr="00680723">
        <w:rPr>
          <w:rFonts w:ascii="仿宋_GB2312" w:eastAsia="仿宋_GB2312" w:hAnsi="Times New Roman" w:cs="宋体" w:hint="eastAsia"/>
          <w:kern w:val="0"/>
          <w:sz w:val="32"/>
          <w:szCs w:val="32"/>
        </w:rPr>
        <w:lastRenderedPageBreak/>
        <w:t>备案审查，收取费用不得高于同类营利性服务的普遍水平。经营性服务项目或捐赠所得收入可用</w:t>
      </w:r>
      <w:proofErr w:type="gramStart"/>
      <w:r w:rsidRPr="00680723">
        <w:rPr>
          <w:rFonts w:ascii="仿宋_GB2312" w:eastAsia="仿宋_GB2312" w:hAnsi="Times New Roman" w:cs="宋体" w:hint="eastAsia"/>
          <w:kern w:val="0"/>
          <w:sz w:val="32"/>
          <w:szCs w:val="32"/>
        </w:rPr>
        <w:t>于员工薪酬与</w:t>
      </w:r>
      <w:proofErr w:type="gramEnd"/>
      <w:r w:rsidRPr="00680723">
        <w:rPr>
          <w:rFonts w:ascii="仿宋_GB2312" w:eastAsia="仿宋_GB2312" w:hAnsi="Times New Roman" w:cs="宋体" w:hint="eastAsia"/>
          <w:kern w:val="0"/>
          <w:sz w:val="32"/>
          <w:szCs w:val="32"/>
        </w:rPr>
        <w:t>福利、服务项目运作、办公设施与场地运作以及机构运营管理等开支之不足，机构管理费不得超过10％的比例提取，严禁用于分配。</w:t>
      </w: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b/>
          <w:bCs/>
          <w:kern w:val="0"/>
          <w:sz w:val="32"/>
          <w:szCs w:val="32"/>
        </w:rPr>
        <w:t>（三）财务公开与监督。</w:t>
      </w:r>
      <w:r w:rsidRPr="00680723">
        <w:rPr>
          <w:rFonts w:ascii="仿宋_GB2312" w:eastAsia="仿宋_GB2312" w:hAnsi="Times New Roman" w:cs="宋体" w:hint="eastAsia"/>
          <w:kern w:val="0"/>
          <w:sz w:val="32"/>
          <w:szCs w:val="32"/>
        </w:rPr>
        <w:t>社区（党群）服务中心项目经费使用情况须进行独立财务核算与审计，每季度动态的财务信息以及年度审计报告应通过网络公告、现场公示、年报发放等不少于三种形式及时向社会公开，接受社会监督。各区主管部门可不定期对中心财务情况进行审核和评估。</w:t>
      </w:r>
    </w:p>
    <w:p w:rsidR="00630BEA" w:rsidRPr="00680723" w:rsidRDefault="00630BEA" w:rsidP="00630BEA">
      <w:pPr>
        <w:widowControl w:val="0"/>
        <w:snapToGrid w:val="0"/>
        <w:ind w:firstLine="640"/>
        <w:rPr>
          <w:rFonts w:ascii="黑体" w:eastAsia="黑体" w:hAnsi="Times New Roman" w:cs="宋体"/>
          <w:bCs/>
          <w:kern w:val="0"/>
          <w:sz w:val="32"/>
          <w:szCs w:val="32"/>
        </w:rPr>
      </w:pPr>
      <w:r w:rsidRPr="00680723">
        <w:rPr>
          <w:rFonts w:ascii="黑体" w:eastAsia="黑体" w:hAnsi="Times New Roman" w:cs="宋体" w:hint="eastAsia"/>
          <w:bCs/>
          <w:kern w:val="0"/>
          <w:sz w:val="32"/>
          <w:szCs w:val="32"/>
        </w:rPr>
        <w:t>八、评估标准及机制</w:t>
      </w: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kern w:val="0"/>
          <w:sz w:val="32"/>
          <w:szCs w:val="32"/>
        </w:rPr>
        <w:t>（一）区主管部门可根据社区需求状况及资源条件，指导、筹划社区（党群）服务中心建设项目。各服务大项确定前应通过社区家园网、社区公告栏张榜等形式予以公示，征询驻地干部、社区居民（含企业员工）对服务项目设置的反馈意见。社区（党群）服务中心服务大项确定后以政府采购方式公开招标，满足条件的申请者可根据招标文件要求进行投标，并细化服务小项。</w:t>
      </w: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kern w:val="0"/>
          <w:sz w:val="32"/>
          <w:szCs w:val="32"/>
        </w:rPr>
        <w:t>（二）中标的运营主体应按照投标文件中的项目计划进行前期筹备和运行。延期运营的，须向市区两级主管部门上报备案，并说明原因。</w:t>
      </w: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kern w:val="0"/>
          <w:sz w:val="32"/>
          <w:szCs w:val="32"/>
        </w:rPr>
        <w:t>（三）市主管部门将委托第三方评估机构进行多主体综合性评估，逐步建立以“全程督导、监管与评估”为特征、过程性监管与总结性评估相结合的外部质量监控体系。各区原则上</w:t>
      </w:r>
      <w:r w:rsidRPr="00680723">
        <w:rPr>
          <w:rFonts w:ascii="仿宋_GB2312" w:eastAsia="仿宋_GB2312" w:hAnsi="Times New Roman" w:cs="宋体" w:hint="eastAsia"/>
          <w:kern w:val="0"/>
          <w:sz w:val="32"/>
          <w:szCs w:val="32"/>
        </w:rPr>
        <w:lastRenderedPageBreak/>
        <w:t>不再进行全面的区级评估，但可依托深圳市社区服务中心信息管理系统进行过程性监管，监管结果应作为续约或投标的重要参考依据。</w:t>
      </w: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kern w:val="0"/>
          <w:sz w:val="32"/>
          <w:szCs w:val="32"/>
        </w:rPr>
        <w:t>（四）市、区主管部门将依据有关部门的通报批评、投诉意见及第三方评估结果，对社区（党群）服务中心的运营主体实行优胜劣汰，推动行业自律和监管，设立“红线”制度，坚决查处各种违法违规行为。</w:t>
      </w: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kern w:val="0"/>
          <w:sz w:val="32"/>
          <w:szCs w:val="32"/>
        </w:rPr>
        <w:t>（五）社区（党群）服务中心的评估等级分为A、B、C三大类七个等级，具体为：A+级（900分以上）、A级（850-899分）、A-级（800-849分），B+级（750-799分）、B级（700-749分）、B-级（600-699分），C级（599分以下）。合同签订期限为三年，项目一年期满时，经综合评估，结果为B及以上等级，且该中心继续营运的，合同将自动延续一年（双方可根据实际情况对相关条款进行协商后调整）。若评为B-等级，区主管部门应责令其进行整改。第二年评估结果仍为B-等级的，应单方面终止营运合同，另行招标。</w:t>
      </w: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kern w:val="0"/>
          <w:sz w:val="32"/>
          <w:szCs w:val="32"/>
        </w:rPr>
        <w:t>三年期满后，对三年营运总评得分B级以上的，各区可以按照规定直接延续营运两年；或者在新一轮投标中，各区给予原运营机构不同档次的加分，尽量保证服务的连续性和稳定性。</w:t>
      </w:r>
    </w:p>
    <w:p w:rsidR="00630BEA" w:rsidRPr="00680723" w:rsidRDefault="00630BEA" w:rsidP="00630BEA">
      <w:pPr>
        <w:widowControl w:val="0"/>
        <w:snapToGrid w:val="0"/>
        <w:rPr>
          <w:rFonts w:ascii="仿宋_GB2312" w:eastAsia="仿宋_GB2312" w:hAnsi="Times New Roman" w:cs="宋体"/>
          <w:kern w:val="0"/>
          <w:sz w:val="32"/>
          <w:szCs w:val="32"/>
        </w:rPr>
      </w:pPr>
      <w:r w:rsidRPr="00680723">
        <w:rPr>
          <w:rFonts w:ascii="仿宋_GB2312" w:eastAsia="仿宋_GB2312" w:hAnsi="Times New Roman" w:cs="宋体" w:hint="eastAsia"/>
          <w:kern w:val="0"/>
          <w:sz w:val="32"/>
          <w:szCs w:val="32"/>
        </w:rPr>
        <w:t>年度评估结果为C等级的，须终止合同，另行招标。原项目运营者不能参加下一年度该项目的竞标。提前终止合同的，按照有关协议内容办理。</w:t>
      </w:r>
    </w:p>
    <w:p w:rsidR="00630BEA" w:rsidRPr="00680723" w:rsidRDefault="00630BEA" w:rsidP="00630BEA">
      <w:pPr>
        <w:widowControl w:val="0"/>
        <w:snapToGrid w:val="0"/>
        <w:ind w:firstLine="640"/>
        <w:rPr>
          <w:rFonts w:ascii="仿宋_GB2312" w:eastAsia="仿宋_GB2312" w:hAnsi="Times New Roman" w:cs="宋体"/>
          <w:kern w:val="0"/>
          <w:sz w:val="32"/>
          <w:szCs w:val="32"/>
        </w:rPr>
      </w:pPr>
      <w:r w:rsidRPr="00680723">
        <w:rPr>
          <w:rFonts w:ascii="仿宋_GB2312" w:eastAsia="仿宋_GB2312" w:hAnsi="Times New Roman" w:cs="宋体" w:hint="eastAsia"/>
          <w:kern w:val="0"/>
          <w:sz w:val="32"/>
          <w:szCs w:val="32"/>
        </w:rPr>
        <w:t>（六）在以下情况实行社区（党群）服务中心运营资格“一</w:t>
      </w:r>
      <w:r w:rsidRPr="00680723">
        <w:rPr>
          <w:rFonts w:ascii="仿宋_GB2312" w:eastAsia="仿宋_GB2312" w:hAnsi="Times New Roman" w:cs="宋体" w:hint="eastAsia"/>
          <w:kern w:val="0"/>
          <w:sz w:val="32"/>
          <w:szCs w:val="32"/>
        </w:rPr>
        <w:lastRenderedPageBreak/>
        <w:t>票否决”制度：一是经市主管部门委托的第三方评估机构年度评估抽查，查实运营方提取的年度机构管理费超过本标准规定的，直接评定为C级；二是营运过程中情况异常，经居民大会表决，有超过60%的与会者同意对运营方终止合同的，经报区和市主管部门核实，可办理终止手续，第三方评估机构将不予评估，其评估等级直接评定为C级。以上两种情况出现时，区主管部门应妥善处置，保证社区（党群）服务中心连续正常运作。</w:t>
      </w:r>
    </w:p>
    <w:p w:rsidR="00630BEA" w:rsidRPr="00680723" w:rsidRDefault="00630BEA" w:rsidP="00630BEA">
      <w:pPr>
        <w:spacing w:line="360" w:lineRule="auto"/>
        <w:jc w:val="left"/>
        <w:rPr>
          <w:rFonts w:ascii="仿宋_GB2312" w:eastAsia="仿宋_GB2312" w:hAnsi="Times New Roman" w:cs="宋体"/>
          <w:b/>
          <w:bCs/>
          <w:kern w:val="0"/>
          <w:sz w:val="24"/>
          <w:szCs w:val="21"/>
        </w:rPr>
        <w:sectPr w:rsidR="00630BEA" w:rsidRPr="00680723">
          <w:footerReference w:type="even" r:id="rId7"/>
          <w:footerReference w:type="default" r:id="rId8"/>
          <w:pgSz w:w="11906" w:h="16838"/>
          <w:pgMar w:top="2098" w:right="1588" w:bottom="1531" w:left="1588" w:header="851" w:footer="992" w:gutter="0"/>
          <w:cols w:space="720"/>
          <w:titlePg/>
          <w:docGrid w:type="lines" w:linePitch="312"/>
        </w:sectPr>
      </w:pPr>
    </w:p>
    <w:p w:rsidR="00630BEA" w:rsidRPr="00680723" w:rsidRDefault="00630BEA" w:rsidP="00630BEA">
      <w:pPr>
        <w:snapToGrid w:val="0"/>
        <w:jc w:val="left"/>
        <w:rPr>
          <w:rFonts w:ascii="仿宋_GB2312" w:eastAsia="仿宋_GB2312" w:hAnsi="Times New Roman" w:cs="宋体"/>
          <w:b/>
          <w:bCs/>
          <w:kern w:val="0"/>
          <w:sz w:val="24"/>
          <w:szCs w:val="24"/>
        </w:rPr>
      </w:pPr>
      <w:r w:rsidRPr="00680723">
        <w:rPr>
          <w:rFonts w:ascii="仿宋_GB2312" w:eastAsia="仿宋_GB2312" w:hAnsi="Times New Roman" w:cs="宋体" w:hint="eastAsia"/>
          <w:b/>
          <w:bCs/>
          <w:kern w:val="0"/>
          <w:sz w:val="24"/>
          <w:szCs w:val="24"/>
        </w:rPr>
        <w:lastRenderedPageBreak/>
        <w:t>表</w:t>
      </w:r>
      <w:proofErr w:type="gramStart"/>
      <w:r w:rsidRPr="00680723">
        <w:rPr>
          <w:rFonts w:ascii="仿宋_GB2312" w:eastAsia="仿宋_GB2312" w:hAnsi="Times New Roman" w:cs="宋体" w:hint="eastAsia"/>
          <w:b/>
          <w:bCs/>
          <w:kern w:val="0"/>
          <w:sz w:val="24"/>
          <w:szCs w:val="24"/>
        </w:rPr>
        <w:t>一</w:t>
      </w:r>
      <w:proofErr w:type="gramEnd"/>
      <w:r w:rsidRPr="00680723">
        <w:rPr>
          <w:rFonts w:ascii="仿宋_GB2312" w:eastAsia="仿宋_GB2312" w:hAnsi="Times New Roman" w:cs="宋体" w:hint="eastAsia"/>
          <w:b/>
          <w:bCs/>
          <w:kern w:val="0"/>
          <w:sz w:val="24"/>
          <w:szCs w:val="24"/>
        </w:rPr>
        <w:t>：</w:t>
      </w:r>
    </w:p>
    <w:p w:rsidR="00630BEA" w:rsidRPr="00680723" w:rsidRDefault="00630BEA" w:rsidP="00630BEA">
      <w:pPr>
        <w:snapToGrid w:val="0"/>
        <w:spacing w:after="100" w:afterAutospacing="1"/>
        <w:jc w:val="center"/>
        <w:rPr>
          <w:rFonts w:ascii="仿宋_GB2312" w:eastAsia="仿宋_GB2312" w:hAnsi="Times New Roman" w:cs="宋体"/>
          <w:b/>
          <w:bCs/>
          <w:kern w:val="0"/>
          <w:sz w:val="24"/>
          <w:szCs w:val="24"/>
        </w:rPr>
      </w:pPr>
      <w:r w:rsidRPr="00680723">
        <w:rPr>
          <w:rFonts w:ascii="仿宋_GB2312" w:eastAsia="仿宋_GB2312" w:hAnsi="Times New Roman" w:cs="宋体" w:hint="eastAsia"/>
          <w:b/>
          <w:bCs/>
          <w:kern w:val="0"/>
          <w:sz w:val="24"/>
          <w:szCs w:val="24"/>
        </w:rPr>
        <w:t>社区助老公共服务内容建议表</w:t>
      </w:r>
    </w:p>
    <w:tbl>
      <w:tblPr>
        <w:tblW w:w="0" w:type="auto"/>
        <w:tblLayout w:type="fixed"/>
        <w:tblCellMar>
          <w:left w:w="0" w:type="dxa"/>
          <w:right w:w="0" w:type="dxa"/>
        </w:tblCellMar>
        <w:tblLook w:val="0000" w:firstRow="0" w:lastRow="0" w:firstColumn="0" w:lastColumn="0" w:noHBand="0" w:noVBand="0"/>
      </w:tblPr>
      <w:tblGrid>
        <w:gridCol w:w="1570"/>
        <w:gridCol w:w="2835"/>
        <w:gridCol w:w="3969"/>
      </w:tblGrid>
      <w:tr w:rsidR="00630BEA" w:rsidRPr="00680723" w:rsidTr="00921070">
        <w:trPr>
          <w:trHeight w:val="153"/>
        </w:trPr>
        <w:tc>
          <w:tcPr>
            <w:tcW w:w="1570"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400" w:lineRule="exact"/>
              <w:jc w:val="center"/>
              <w:rPr>
                <w:rFonts w:ascii="仿宋_GB2312" w:eastAsia="仿宋_GB2312" w:hAnsi="Calibri" w:cs="宋体"/>
                <w:kern w:val="0"/>
                <w:sz w:val="24"/>
                <w:szCs w:val="24"/>
              </w:rPr>
            </w:pPr>
            <w:r w:rsidRPr="00680723">
              <w:rPr>
                <w:rFonts w:ascii="仿宋_GB2312" w:eastAsia="仿宋_GB2312" w:hAnsi="Times New Roman" w:cs="宋体" w:hint="eastAsia"/>
                <w:b/>
                <w:bCs/>
                <w:kern w:val="0"/>
                <w:sz w:val="24"/>
                <w:szCs w:val="24"/>
              </w:rPr>
              <w:t>服务大项</w:t>
            </w:r>
          </w:p>
        </w:tc>
        <w:tc>
          <w:tcPr>
            <w:tcW w:w="2835" w:type="dxa"/>
            <w:tcBorders>
              <w:top w:val="single" w:sz="4" w:space="0" w:color="auto"/>
              <w:left w:val="nil"/>
              <w:bottom w:val="single" w:sz="4" w:space="0" w:color="auto"/>
              <w:right w:val="single" w:sz="4" w:space="0" w:color="auto"/>
            </w:tcBorders>
            <w:vAlign w:val="center"/>
          </w:tcPr>
          <w:p w:rsidR="00630BEA" w:rsidRPr="00680723" w:rsidRDefault="00630BEA" w:rsidP="00921070">
            <w:pPr>
              <w:spacing w:line="400" w:lineRule="exact"/>
              <w:jc w:val="center"/>
              <w:rPr>
                <w:rFonts w:ascii="仿宋_GB2312" w:eastAsia="仿宋_GB2312" w:hAnsi="Calibri" w:cs="宋体"/>
                <w:kern w:val="0"/>
                <w:sz w:val="24"/>
                <w:szCs w:val="24"/>
              </w:rPr>
            </w:pPr>
            <w:r w:rsidRPr="00680723">
              <w:rPr>
                <w:rFonts w:ascii="仿宋_GB2312" w:eastAsia="仿宋_GB2312" w:hAnsi="Times New Roman" w:cs="宋体" w:hint="eastAsia"/>
                <w:b/>
                <w:bCs/>
                <w:kern w:val="0"/>
                <w:sz w:val="24"/>
                <w:szCs w:val="24"/>
              </w:rPr>
              <w:t>服务目标</w:t>
            </w:r>
          </w:p>
        </w:tc>
        <w:tc>
          <w:tcPr>
            <w:tcW w:w="3969" w:type="dxa"/>
            <w:tcBorders>
              <w:top w:val="single" w:sz="4" w:space="0" w:color="auto"/>
              <w:left w:val="nil"/>
              <w:bottom w:val="single" w:sz="4" w:space="0" w:color="auto"/>
              <w:right w:val="single" w:sz="4" w:space="0" w:color="auto"/>
            </w:tcBorders>
            <w:vAlign w:val="center"/>
          </w:tcPr>
          <w:p w:rsidR="00630BEA" w:rsidRPr="00680723" w:rsidRDefault="00630BEA" w:rsidP="00921070">
            <w:pPr>
              <w:spacing w:line="400" w:lineRule="exact"/>
              <w:jc w:val="center"/>
              <w:rPr>
                <w:rFonts w:ascii="仿宋_GB2312" w:eastAsia="仿宋_GB2312" w:hAnsi="Calibri" w:cs="宋体"/>
                <w:kern w:val="0"/>
                <w:sz w:val="24"/>
                <w:szCs w:val="24"/>
              </w:rPr>
            </w:pPr>
            <w:r w:rsidRPr="00680723">
              <w:rPr>
                <w:rFonts w:ascii="仿宋_GB2312" w:eastAsia="仿宋_GB2312" w:hAnsi="Times New Roman" w:cs="宋体" w:hint="eastAsia"/>
                <w:b/>
                <w:bCs/>
                <w:kern w:val="0"/>
                <w:sz w:val="24"/>
                <w:szCs w:val="24"/>
              </w:rPr>
              <w:t>服务细项</w:t>
            </w:r>
          </w:p>
        </w:tc>
      </w:tr>
      <w:tr w:rsidR="00630BEA" w:rsidRPr="00680723" w:rsidTr="00921070">
        <w:trPr>
          <w:cantSplit/>
          <w:trHeight w:val="357"/>
        </w:trPr>
        <w:tc>
          <w:tcPr>
            <w:tcW w:w="1570"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1.1日常来访与探访服务</w:t>
            </w:r>
          </w:p>
        </w:tc>
        <w:tc>
          <w:tcPr>
            <w:tcW w:w="2835"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为日常到访中心的老年人提供休闲、娱乐和人际交往的场所，提供相关资讯和资源链接及转介服务</w:t>
            </w:r>
          </w:p>
        </w:tc>
        <w:tc>
          <w:tcPr>
            <w:tcW w:w="3969" w:type="dxa"/>
            <w:tcBorders>
              <w:top w:val="nil"/>
              <w:left w:val="nil"/>
              <w:bottom w:val="single" w:sz="4" w:space="0" w:color="auto"/>
              <w:right w:val="single" w:sz="4" w:space="0" w:color="auto"/>
            </w:tcBorders>
          </w:tcPr>
          <w:p w:rsidR="00630BEA" w:rsidRPr="00680723" w:rsidRDefault="00630BEA" w:rsidP="00921070">
            <w:pPr>
              <w:spacing w:line="400" w:lineRule="exac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1.1.1建立方便老年人使用的图书室、书报室、棋牌室、茶</w:t>
            </w:r>
            <w:proofErr w:type="gramStart"/>
            <w:r w:rsidRPr="00680723">
              <w:rPr>
                <w:rFonts w:ascii="仿宋_GB2312" w:eastAsia="仿宋_GB2312" w:hAnsi="Times New Roman" w:cs="宋体" w:hint="eastAsia"/>
                <w:kern w:val="0"/>
                <w:sz w:val="24"/>
                <w:szCs w:val="24"/>
              </w:rPr>
              <w:t>话室等资源室</w:t>
            </w:r>
            <w:proofErr w:type="gramEnd"/>
          </w:p>
        </w:tc>
      </w:tr>
      <w:tr w:rsidR="00630BEA" w:rsidRPr="00680723" w:rsidTr="00921070">
        <w:trPr>
          <w:cantSplit/>
          <w:trHeight w:val="339"/>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1.1.2提供相关政策咨询服务</w:t>
            </w:r>
          </w:p>
        </w:tc>
      </w:tr>
      <w:tr w:rsidR="00630BEA" w:rsidRPr="00680723" w:rsidTr="00921070">
        <w:trPr>
          <w:cantSplit/>
          <w:trHeight w:val="117"/>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1.1.3社区老人需求调查</w:t>
            </w:r>
          </w:p>
        </w:tc>
      </w:tr>
      <w:tr w:rsidR="00630BEA" w:rsidRPr="00680723" w:rsidTr="00921070">
        <w:trPr>
          <w:cantSplit/>
          <w:trHeight w:val="165"/>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1.1.4资源链接</w:t>
            </w:r>
          </w:p>
        </w:tc>
      </w:tr>
      <w:tr w:rsidR="00630BEA" w:rsidRPr="00680723" w:rsidTr="00921070">
        <w:trPr>
          <w:cantSplit/>
          <w:trHeight w:val="56"/>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1.1.5转介服务</w:t>
            </w:r>
          </w:p>
        </w:tc>
      </w:tr>
      <w:tr w:rsidR="00630BEA" w:rsidRPr="00680723" w:rsidTr="00921070">
        <w:trPr>
          <w:cantSplit/>
          <w:trHeight w:val="275"/>
        </w:trPr>
        <w:tc>
          <w:tcPr>
            <w:tcW w:w="1570"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1.2身体健康与生活照料服务</w:t>
            </w:r>
          </w:p>
        </w:tc>
        <w:tc>
          <w:tcPr>
            <w:tcW w:w="2835"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为老年人提供与身体健康直接有关的预防、护理、康复方面的服务，及相关生活照料、家务协助、生活护理等方面的服务</w:t>
            </w: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1.2.1跟年龄有关的疾病信息咨询</w:t>
            </w:r>
          </w:p>
        </w:tc>
      </w:tr>
      <w:tr w:rsidR="00630BEA" w:rsidRPr="00680723" w:rsidTr="00921070">
        <w:trPr>
          <w:cantSplit/>
          <w:trHeight w:val="195"/>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1.2.2营养咨询与教育</w:t>
            </w:r>
          </w:p>
        </w:tc>
      </w:tr>
      <w:tr w:rsidR="00630BEA" w:rsidRPr="00680723" w:rsidTr="00921070">
        <w:trPr>
          <w:cantSplit/>
          <w:trHeight w:val="257"/>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1.2.3慢性病的预防与护理</w:t>
            </w:r>
          </w:p>
        </w:tc>
      </w:tr>
      <w:tr w:rsidR="00630BEA" w:rsidRPr="00680723" w:rsidTr="00921070">
        <w:trPr>
          <w:cantSplit/>
          <w:trHeight w:val="305"/>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1.2.4锻炼身体方案</w:t>
            </w:r>
          </w:p>
        </w:tc>
      </w:tr>
      <w:tr w:rsidR="00630BEA" w:rsidRPr="00680723" w:rsidTr="00921070">
        <w:trPr>
          <w:cantSplit/>
          <w:trHeight w:val="225"/>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1.2.5老年人防</w:t>
            </w:r>
            <w:proofErr w:type="gramStart"/>
            <w:r w:rsidRPr="00680723">
              <w:rPr>
                <w:rFonts w:ascii="仿宋_GB2312" w:eastAsia="仿宋_GB2312" w:hAnsi="Times New Roman" w:cs="宋体" w:hint="eastAsia"/>
                <w:kern w:val="0"/>
                <w:sz w:val="24"/>
                <w:szCs w:val="24"/>
              </w:rPr>
              <w:t>摔训练</w:t>
            </w:r>
            <w:proofErr w:type="gramEnd"/>
          </w:p>
        </w:tc>
      </w:tr>
      <w:tr w:rsidR="00630BEA" w:rsidRPr="00680723" w:rsidTr="00921070">
        <w:trPr>
          <w:cantSplit/>
          <w:trHeight w:val="225"/>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1.2.6</w:t>
            </w:r>
            <w:proofErr w:type="gramStart"/>
            <w:r w:rsidRPr="00680723">
              <w:rPr>
                <w:rFonts w:ascii="仿宋_GB2312" w:eastAsia="仿宋_GB2312" w:hAnsi="Times New Roman" w:cs="宋体" w:hint="eastAsia"/>
                <w:kern w:val="0"/>
                <w:sz w:val="24"/>
                <w:szCs w:val="24"/>
              </w:rPr>
              <w:t>援通呼叫器</w:t>
            </w:r>
            <w:proofErr w:type="gramEnd"/>
            <w:r w:rsidRPr="00680723">
              <w:rPr>
                <w:rFonts w:ascii="仿宋_GB2312" w:eastAsia="仿宋_GB2312" w:hAnsi="Times New Roman" w:cs="宋体" w:hint="eastAsia"/>
                <w:kern w:val="0"/>
                <w:sz w:val="24"/>
                <w:szCs w:val="24"/>
              </w:rPr>
              <w:t>的安装与使用</w:t>
            </w:r>
          </w:p>
        </w:tc>
      </w:tr>
      <w:tr w:rsidR="00630BEA" w:rsidRPr="00680723" w:rsidTr="00921070">
        <w:trPr>
          <w:cantSplit/>
          <w:trHeight w:val="225"/>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1.2.7居家养老</w:t>
            </w:r>
          </w:p>
        </w:tc>
      </w:tr>
      <w:tr w:rsidR="00630BEA" w:rsidRPr="00680723" w:rsidTr="00921070">
        <w:trPr>
          <w:cantSplit/>
          <w:trHeight w:val="145"/>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1.2.8健康护理服务</w:t>
            </w:r>
          </w:p>
        </w:tc>
      </w:tr>
      <w:tr w:rsidR="00630BEA" w:rsidRPr="00680723" w:rsidTr="00921070">
        <w:trPr>
          <w:cantSplit/>
          <w:trHeight w:val="193"/>
        </w:trPr>
        <w:tc>
          <w:tcPr>
            <w:tcW w:w="1570"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1.3心理健康服务</w:t>
            </w:r>
          </w:p>
        </w:tc>
        <w:tc>
          <w:tcPr>
            <w:tcW w:w="2835"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协助老年人正确认识来自各方面的心理压力，培养积极乐观的心态</w:t>
            </w: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1.3.1老年人心理健康知识教育</w:t>
            </w:r>
          </w:p>
        </w:tc>
      </w:tr>
      <w:tr w:rsidR="00630BEA" w:rsidRPr="00680723" w:rsidTr="00921070">
        <w:trPr>
          <w:cantSplit/>
          <w:trHeight w:val="255"/>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1.3.2老年人生活适应辅导</w:t>
            </w:r>
          </w:p>
        </w:tc>
      </w:tr>
      <w:tr w:rsidR="00630BEA" w:rsidRPr="00680723" w:rsidTr="00921070">
        <w:trPr>
          <w:cantSplit/>
          <w:trHeight w:val="303"/>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1.3.3心理健康辅导与服务</w:t>
            </w:r>
          </w:p>
        </w:tc>
      </w:tr>
      <w:tr w:rsidR="00630BEA" w:rsidRPr="00680723" w:rsidTr="00921070">
        <w:trPr>
          <w:cantSplit/>
          <w:trHeight w:val="223"/>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1.3.4临终关怀</w:t>
            </w:r>
          </w:p>
        </w:tc>
      </w:tr>
      <w:tr w:rsidR="00630BEA" w:rsidRPr="00680723" w:rsidTr="00921070">
        <w:trPr>
          <w:cantSplit/>
          <w:trHeight w:val="132"/>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1.3.5哀伤辅导</w:t>
            </w:r>
          </w:p>
        </w:tc>
      </w:tr>
      <w:tr w:rsidR="00630BEA" w:rsidRPr="00680723" w:rsidTr="00921070">
        <w:trPr>
          <w:cantSplit/>
          <w:trHeight w:val="194"/>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1.3.6终身学习与老年大学</w:t>
            </w:r>
          </w:p>
        </w:tc>
      </w:tr>
      <w:tr w:rsidR="00630BEA" w:rsidRPr="00680723" w:rsidTr="00921070">
        <w:trPr>
          <w:cantSplit/>
          <w:trHeight w:val="221"/>
        </w:trPr>
        <w:tc>
          <w:tcPr>
            <w:tcW w:w="1570"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1.4社会支持网络建立</w:t>
            </w:r>
          </w:p>
        </w:tc>
        <w:tc>
          <w:tcPr>
            <w:tcW w:w="2835"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整合可能的社会资源为老年人提供多样化的服务</w:t>
            </w: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1.4.1相关资源开发和整合</w:t>
            </w:r>
          </w:p>
        </w:tc>
      </w:tr>
      <w:tr w:rsidR="00630BEA" w:rsidRPr="00680723" w:rsidTr="00921070">
        <w:trPr>
          <w:cantSplit/>
          <w:trHeight w:val="283"/>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1.4.2经济援助</w:t>
            </w:r>
          </w:p>
        </w:tc>
      </w:tr>
      <w:tr w:rsidR="00630BEA" w:rsidRPr="00680723" w:rsidTr="00921070">
        <w:trPr>
          <w:cantSplit/>
          <w:trHeight w:val="203"/>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1.4.3社区互助网络建设</w:t>
            </w:r>
          </w:p>
        </w:tc>
      </w:tr>
      <w:tr w:rsidR="00630BEA" w:rsidRPr="00680723" w:rsidTr="00921070">
        <w:trPr>
          <w:cantSplit/>
          <w:trHeight w:val="109"/>
        </w:trPr>
        <w:tc>
          <w:tcPr>
            <w:tcW w:w="1570"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1.5老年人文体活动</w:t>
            </w:r>
          </w:p>
        </w:tc>
        <w:tc>
          <w:tcPr>
            <w:tcW w:w="2835"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开展符合老年人身心特点的文体活动，丰富其精神、文化生活</w:t>
            </w: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1.5.1老年兴趣班</w:t>
            </w:r>
          </w:p>
        </w:tc>
      </w:tr>
      <w:tr w:rsidR="00630BEA" w:rsidRPr="00680723" w:rsidTr="00921070">
        <w:trPr>
          <w:cantSplit/>
          <w:trHeight w:val="171"/>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1.5.2文艺队</w:t>
            </w:r>
          </w:p>
        </w:tc>
      </w:tr>
      <w:tr w:rsidR="00630BEA" w:rsidRPr="00680723" w:rsidTr="00921070">
        <w:trPr>
          <w:cantSplit/>
          <w:trHeight w:val="375"/>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1.5.3老年运动会</w:t>
            </w:r>
          </w:p>
        </w:tc>
      </w:tr>
    </w:tbl>
    <w:p w:rsidR="00630BEA" w:rsidRPr="00680723" w:rsidRDefault="00630BEA" w:rsidP="00630BEA">
      <w:pPr>
        <w:snapToGrid w:val="0"/>
        <w:jc w:val="left"/>
        <w:rPr>
          <w:rFonts w:ascii="仿宋_GB2312" w:eastAsia="仿宋_GB2312" w:hAnsi="Times New Roman" w:cs="宋体"/>
          <w:b/>
          <w:bCs/>
          <w:kern w:val="0"/>
          <w:sz w:val="24"/>
          <w:szCs w:val="24"/>
        </w:rPr>
      </w:pPr>
      <w:r w:rsidRPr="00680723">
        <w:rPr>
          <w:rFonts w:ascii="仿宋_GB2312" w:eastAsia="仿宋_GB2312" w:hAnsi="Times New Roman" w:cs="宋体" w:hint="eastAsia"/>
          <w:b/>
          <w:bCs/>
          <w:kern w:val="0"/>
          <w:sz w:val="24"/>
          <w:szCs w:val="24"/>
        </w:rPr>
        <w:br w:type="page"/>
      </w:r>
      <w:r w:rsidRPr="00680723">
        <w:rPr>
          <w:rFonts w:ascii="仿宋_GB2312" w:eastAsia="仿宋_GB2312" w:hAnsi="Times New Roman" w:cs="宋体" w:hint="eastAsia"/>
          <w:b/>
          <w:bCs/>
          <w:kern w:val="0"/>
          <w:sz w:val="24"/>
          <w:szCs w:val="24"/>
        </w:rPr>
        <w:lastRenderedPageBreak/>
        <w:t>表二：</w:t>
      </w:r>
    </w:p>
    <w:p w:rsidR="00630BEA" w:rsidRPr="00680723" w:rsidRDefault="00630BEA" w:rsidP="00630BEA">
      <w:pPr>
        <w:snapToGrid w:val="0"/>
        <w:spacing w:after="100" w:afterAutospacing="1"/>
        <w:jc w:val="center"/>
        <w:rPr>
          <w:rFonts w:ascii="仿宋_GB2312" w:eastAsia="仿宋_GB2312" w:hAnsi="Times New Roman" w:cs="宋体"/>
          <w:b/>
          <w:bCs/>
          <w:kern w:val="0"/>
          <w:sz w:val="24"/>
          <w:szCs w:val="24"/>
        </w:rPr>
      </w:pPr>
      <w:r w:rsidRPr="00680723">
        <w:rPr>
          <w:rFonts w:ascii="仿宋_GB2312" w:eastAsia="仿宋_GB2312" w:hAnsi="Times New Roman" w:cs="宋体" w:hint="eastAsia"/>
          <w:b/>
          <w:bCs/>
          <w:kern w:val="0"/>
          <w:sz w:val="24"/>
          <w:szCs w:val="24"/>
        </w:rPr>
        <w:t>社区助残公共服务内容建议表</w:t>
      </w:r>
    </w:p>
    <w:tbl>
      <w:tblPr>
        <w:tblW w:w="0" w:type="auto"/>
        <w:jc w:val="center"/>
        <w:tblLayout w:type="fixed"/>
        <w:tblCellMar>
          <w:left w:w="0" w:type="dxa"/>
          <w:right w:w="0" w:type="dxa"/>
        </w:tblCellMar>
        <w:tblLook w:val="0000" w:firstRow="0" w:lastRow="0" w:firstColumn="0" w:lastColumn="0" w:noHBand="0" w:noVBand="0"/>
      </w:tblPr>
      <w:tblGrid>
        <w:gridCol w:w="1504"/>
        <w:gridCol w:w="2835"/>
        <w:gridCol w:w="3969"/>
      </w:tblGrid>
      <w:tr w:rsidR="00630BEA" w:rsidRPr="00680723" w:rsidTr="00921070">
        <w:trPr>
          <w:trHeight w:val="161"/>
          <w:jc w:val="center"/>
        </w:trPr>
        <w:tc>
          <w:tcPr>
            <w:tcW w:w="1504"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b/>
                <w:bCs/>
                <w:kern w:val="0"/>
                <w:sz w:val="24"/>
                <w:szCs w:val="24"/>
              </w:rPr>
              <w:t>服务大项</w:t>
            </w:r>
          </w:p>
        </w:tc>
        <w:tc>
          <w:tcPr>
            <w:tcW w:w="2835" w:type="dxa"/>
            <w:tcBorders>
              <w:top w:val="single" w:sz="4" w:space="0" w:color="auto"/>
              <w:left w:val="nil"/>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b/>
                <w:bCs/>
                <w:kern w:val="0"/>
                <w:sz w:val="24"/>
                <w:szCs w:val="24"/>
              </w:rPr>
              <w:t>服务目的</w:t>
            </w:r>
          </w:p>
        </w:tc>
        <w:tc>
          <w:tcPr>
            <w:tcW w:w="3969" w:type="dxa"/>
            <w:tcBorders>
              <w:top w:val="single" w:sz="4" w:space="0" w:color="auto"/>
              <w:left w:val="nil"/>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b/>
                <w:bCs/>
                <w:kern w:val="0"/>
                <w:sz w:val="24"/>
                <w:szCs w:val="24"/>
              </w:rPr>
              <w:t>服务细项</w:t>
            </w:r>
          </w:p>
        </w:tc>
      </w:tr>
      <w:tr w:rsidR="00630BEA" w:rsidRPr="00680723" w:rsidTr="00921070">
        <w:trPr>
          <w:cantSplit/>
          <w:trHeight w:val="209"/>
          <w:jc w:val="center"/>
        </w:trPr>
        <w:tc>
          <w:tcPr>
            <w:tcW w:w="1504"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2.1日常来访与探访服务</w:t>
            </w:r>
          </w:p>
        </w:tc>
        <w:tc>
          <w:tcPr>
            <w:tcW w:w="2835"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协助残障人士了解相关政策，提供资源链接与转介服务</w:t>
            </w: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2.1.1与残疾人相关的政策信息提供</w:t>
            </w:r>
          </w:p>
        </w:tc>
      </w:tr>
      <w:tr w:rsidR="00630BEA" w:rsidRPr="00680723" w:rsidTr="00921070">
        <w:trPr>
          <w:cantSplit/>
          <w:trHeight w:val="271"/>
          <w:jc w:val="center"/>
        </w:trPr>
        <w:tc>
          <w:tcPr>
            <w:tcW w:w="1504"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2.1.2残疾人及其家属的咨询服务</w:t>
            </w:r>
          </w:p>
        </w:tc>
      </w:tr>
      <w:tr w:rsidR="00630BEA" w:rsidRPr="00680723" w:rsidTr="00921070">
        <w:trPr>
          <w:cantSplit/>
          <w:trHeight w:val="191"/>
          <w:jc w:val="center"/>
        </w:trPr>
        <w:tc>
          <w:tcPr>
            <w:tcW w:w="1504"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2.1.3家庭探访</w:t>
            </w:r>
          </w:p>
        </w:tc>
      </w:tr>
      <w:tr w:rsidR="00630BEA" w:rsidRPr="00680723" w:rsidTr="00921070">
        <w:trPr>
          <w:cantSplit/>
          <w:trHeight w:val="239"/>
          <w:jc w:val="center"/>
        </w:trPr>
        <w:tc>
          <w:tcPr>
            <w:tcW w:w="1504"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2.1.4资源链接与转介服务</w:t>
            </w:r>
          </w:p>
        </w:tc>
      </w:tr>
      <w:tr w:rsidR="00630BEA" w:rsidRPr="00680723" w:rsidTr="00921070">
        <w:trPr>
          <w:cantSplit/>
          <w:trHeight w:val="159"/>
          <w:jc w:val="center"/>
        </w:trPr>
        <w:tc>
          <w:tcPr>
            <w:tcW w:w="1504"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2.2残疾人康复服务</w:t>
            </w:r>
          </w:p>
        </w:tc>
        <w:tc>
          <w:tcPr>
            <w:tcW w:w="2835"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为残疾人提供康复服务，从而协助其树立自尊、自信、自强、自立的信心，积极参与社会生活</w:t>
            </w: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2.2.1自我照顾训练</w:t>
            </w:r>
          </w:p>
        </w:tc>
      </w:tr>
      <w:tr w:rsidR="00630BEA" w:rsidRPr="00680723" w:rsidTr="00921070">
        <w:trPr>
          <w:cantSplit/>
          <w:trHeight w:val="221"/>
          <w:jc w:val="center"/>
        </w:trPr>
        <w:tc>
          <w:tcPr>
            <w:tcW w:w="1504"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2.2.2家居及社区生活技能训练</w:t>
            </w:r>
          </w:p>
        </w:tc>
      </w:tr>
      <w:tr w:rsidR="00630BEA" w:rsidRPr="00680723" w:rsidTr="00921070">
        <w:trPr>
          <w:cantSplit/>
          <w:trHeight w:val="269"/>
          <w:jc w:val="center"/>
        </w:trPr>
        <w:tc>
          <w:tcPr>
            <w:tcW w:w="1504"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2.2.3家庭辅导</w:t>
            </w:r>
          </w:p>
        </w:tc>
      </w:tr>
      <w:tr w:rsidR="00630BEA" w:rsidRPr="00680723" w:rsidTr="00921070">
        <w:trPr>
          <w:cantSplit/>
          <w:trHeight w:val="189"/>
          <w:jc w:val="center"/>
        </w:trPr>
        <w:tc>
          <w:tcPr>
            <w:tcW w:w="1504"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2.2.4康复训练</w:t>
            </w:r>
          </w:p>
        </w:tc>
      </w:tr>
      <w:tr w:rsidR="00630BEA" w:rsidRPr="00680723" w:rsidTr="00921070">
        <w:trPr>
          <w:cantSplit/>
          <w:trHeight w:val="237"/>
          <w:jc w:val="center"/>
        </w:trPr>
        <w:tc>
          <w:tcPr>
            <w:tcW w:w="1504"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2.2.5心理辅导</w:t>
            </w:r>
          </w:p>
        </w:tc>
      </w:tr>
      <w:tr w:rsidR="00630BEA" w:rsidRPr="00680723" w:rsidTr="00921070">
        <w:trPr>
          <w:cantSplit/>
          <w:trHeight w:val="157"/>
          <w:jc w:val="center"/>
        </w:trPr>
        <w:tc>
          <w:tcPr>
            <w:tcW w:w="1504"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2.2.6社区教育训练</w:t>
            </w:r>
          </w:p>
        </w:tc>
      </w:tr>
      <w:tr w:rsidR="00630BEA" w:rsidRPr="00680723" w:rsidTr="00921070">
        <w:trPr>
          <w:cantSplit/>
          <w:trHeight w:val="219"/>
          <w:jc w:val="center"/>
        </w:trPr>
        <w:tc>
          <w:tcPr>
            <w:tcW w:w="1504"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2.2.7就业培训与指导</w:t>
            </w:r>
          </w:p>
        </w:tc>
      </w:tr>
      <w:tr w:rsidR="00630BEA" w:rsidRPr="00680723" w:rsidTr="00921070">
        <w:trPr>
          <w:cantSplit/>
          <w:trHeight w:val="267"/>
          <w:jc w:val="center"/>
        </w:trPr>
        <w:tc>
          <w:tcPr>
            <w:tcW w:w="1504"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2.3社会支持网络建设</w:t>
            </w:r>
          </w:p>
        </w:tc>
        <w:tc>
          <w:tcPr>
            <w:tcW w:w="2835"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整合可以满足残障人士需求的社会资源</w:t>
            </w: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2.3.1紧急经济救助</w:t>
            </w:r>
          </w:p>
        </w:tc>
      </w:tr>
      <w:tr w:rsidR="00630BEA" w:rsidRPr="00680723" w:rsidTr="00921070">
        <w:trPr>
          <w:cantSplit/>
          <w:trHeight w:val="471"/>
          <w:jc w:val="center"/>
        </w:trPr>
        <w:tc>
          <w:tcPr>
            <w:tcW w:w="1504"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2.3.2为经济困难残疾人提供必要的康复器械</w:t>
            </w:r>
          </w:p>
        </w:tc>
      </w:tr>
      <w:tr w:rsidR="00630BEA" w:rsidRPr="00680723" w:rsidTr="00921070">
        <w:trPr>
          <w:cantSplit/>
          <w:trHeight w:val="132"/>
          <w:jc w:val="center"/>
        </w:trPr>
        <w:tc>
          <w:tcPr>
            <w:tcW w:w="1504"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2.3.3法律援助服务</w:t>
            </w:r>
          </w:p>
        </w:tc>
      </w:tr>
      <w:tr w:rsidR="00630BEA" w:rsidRPr="00680723" w:rsidTr="00921070">
        <w:trPr>
          <w:cantSplit/>
          <w:trHeight w:val="274"/>
          <w:jc w:val="center"/>
        </w:trPr>
        <w:tc>
          <w:tcPr>
            <w:tcW w:w="1504"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2.3.4构建残疾人就业服务平台</w:t>
            </w:r>
          </w:p>
        </w:tc>
      </w:tr>
      <w:tr w:rsidR="00630BEA" w:rsidRPr="00680723" w:rsidTr="00921070">
        <w:trPr>
          <w:cantSplit/>
          <w:trHeight w:val="194"/>
          <w:jc w:val="center"/>
        </w:trPr>
        <w:tc>
          <w:tcPr>
            <w:tcW w:w="1504"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2.3.5关爱残疾人社区文化活动</w:t>
            </w:r>
          </w:p>
        </w:tc>
      </w:tr>
      <w:tr w:rsidR="00630BEA" w:rsidRPr="00680723" w:rsidTr="00921070">
        <w:trPr>
          <w:cantSplit/>
          <w:trHeight w:val="256"/>
          <w:jc w:val="center"/>
        </w:trPr>
        <w:tc>
          <w:tcPr>
            <w:tcW w:w="1504"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2.3.6建立社区互助网络</w:t>
            </w:r>
          </w:p>
        </w:tc>
      </w:tr>
      <w:tr w:rsidR="00630BEA" w:rsidRPr="00680723" w:rsidTr="00921070">
        <w:trPr>
          <w:cantSplit/>
          <w:trHeight w:val="176"/>
          <w:jc w:val="center"/>
        </w:trPr>
        <w:tc>
          <w:tcPr>
            <w:tcW w:w="1504"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2.3.7政策倡导与环境改善建议</w:t>
            </w:r>
          </w:p>
        </w:tc>
      </w:tr>
    </w:tbl>
    <w:p w:rsidR="00630BEA" w:rsidRPr="00680723" w:rsidRDefault="00630BEA" w:rsidP="00630BEA">
      <w:pPr>
        <w:snapToGrid w:val="0"/>
        <w:jc w:val="left"/>
        <w:rPr>
          <w:rFonts w:ascii="仿宋_GB2312" w:eastAsia="仿宋_GB2312" w:hAnsi="Times New Roman" w:cs="宋体"/>
          <w:b/>
          <w:bCs/>
          <w:kern w:val="0"/>
          <w:sz w:val="24"/>
          <w:szCs w:val="24"/>
        </w:rPr>
      </w:pPr>
      <w:r w:rsidRPr="00680723">
        <w:rPr>
          <w:rFonts w:ascii="仿宋_GB2312" w:eastAsia="仿宋_GB2312" w:hAnsi="Times New Roman" w:cs="宋体" w:hint="eastAsia"/>
          <w:b/>
          <w:bCs/>
          <w:kern w:val="0"/>
          <w:sz w:val="24"/>
          <w:szCs w:val="24"/>
        </w:rPr>
        <w:br w:type="page"/>
      </w:r>
      <w:r w:rsidRPr="00680723">
        <w:rPr>
          <w:rFonts w:ascii="仿宋_GB2312" w:eastAsia="仿宋_GB2312" w:hAnsi="Times New Roman" w:cs="宋体" w:hint="eastAsia"/>
          <w:b/>
          <w:bCs/>
          <w:kern w:val="0"/>
          <w:sz w:val="24"/>
          <w:szCs w:val="24"/>
        </w:rPr>
        <w:lastRenderedPageBreak/>
        <w:t>表三：</w:t>
      </w:r>
    </w:p>
    <w:p w:rsidR="00630BEA" w:rsidRPr="00680723" w:rsidRDefault="00630BEA" w:rsidP="00630BEA">
      <w:pPr>
        <w:snapToGrid w:val="0"/>
        <w:spacing w:after="100" w:afterAutospacing="1"/>
        <w:jc w:val="center"/>
        <w:rPr>
          <w:rFonts w:ascii="仿宋_GB2312" w:eastAsia="仿宋_GB2312" w:hAnsi="Times New Roman" w:cs="宋体"/>
          <w:b/>
          <w:bCs/>
          <w:kern w:val="0"/>
          <w:sz w:val="24"/>
          <w:szCs w:val="24"/>
        </w:rPr>
      </w:pPr>
      <w:r w:rsidRPr="00680723">
        <w:rPr>
          <w:rFonts w:ascii="仿宋_GB2312" w:eastAsia="仿宋_GB2312" w:hAnsi="Times New Roman" w:cs="宋体" w:hint="eastAsia"/>
          <w:b/>
          <w:bCs/>
          <w:kern w:val="0"/>
          <w:sz w:val="24"/>
          <w:szCs w:val="24"/>
        </w:rPr>
        <w:t>社区妇女儿童及家庭公共服务内容建议表</w:t>
      </w:r>
    </w:p>
    <w:tbl>
      <w:tblPr>
        <w:tblW w:w="0" w:type="auto"/>
        <w:jc w:val="center"/>
        <w:tblLayout w:type="fixed"/>
        <w:tblCellMar>
          <w:left w:w="0" w:type="dxa"/>
          <w:right w:w="0" w:type="dxa"/>
        </w:tblCellMar>
        <w:tblLook w:val="0000" w:firstRow="0" w:lastRow="0" w:firstColumn="0" w:lastColumn="0" w:noHBand="0" w:noVBand="0"/>
      </w:tblPr>
      <w:tblGrid>
        <w:gridCol w:w="1495"/>
        <w:gridCol w:w="2755"/>
        <w:gridCol w:w="4049"/>
      </w:tblGrid>
      <w:tr w:rsidR="00630BEA" w:rsidRPr="00680723" w:rsidTr="00921070">
        <w:trPr>
          <w:trHeight w:val="131"/>
          <w:jc w:val="center"/>
        </w:trPr>
        <w:tc>
          <w:tcPr>
            <w:tcW w:w="1495"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400" w:lineRule="exact"/>
              <w:jc w:val="center"/>
              <w:rPr>
                <w:rFonts w:ascii="仿宋_GB2312" w:eastAsia="仿宋_GB2312" w:hAnsi="Calibri" w:cs="宋体"/>
                <w:b/>
                <w:bCs/>
                <w:kern w:val="0"/>
                <w:sz w:val="24"/>
                <w:szCs w:val="24"/>
              </w:rPr>
            </w:pPr>
            <w:r w:rsidRPr="00680723">
              <w:rPr>
                <w:rFonts w:ascii="仿宋_GB2312" w:eastAsia="仿宋_GB2312" w:hAnsi="Times New Roman" w:cs="宋体" w:hint="eastAsia"/>
                <w:b/>
                <w:bCs/>
                <w:kern w:val="0"/>
                <w:sz w:val="24"/>
                <w:szCs w:val="24"/>
              </w:rPr>
              <w:t>服务大项</w:t>
            </w:r>
          </w:p>
        </w:tc>
        <w:tc>
          <w:tcPr>
            <w:tcW w:w="2755" w:type="dxa"/>
            <w:tcBorders>
              <w:top w:val="single" w:sz="4" w:space="0" w:color="auto"/>
              <w:left w:val="nil"/>
              <w:bottom w:val="single" w:sz="4" w:space="0" w:color="auto"/>
              <w:right w:val="single" w:sz="4" w:space="0" w:color="auto"/>
            </w:tcBorders>
            <w:vAlign w:val="center"/>
          </w:tcPr>
          <w:p w:rsidR="00630BEA" w:rsidRPr="00680723" w:rsidRDefault="00630BEA" w:rsidP="00921070">
            <w:pPr>
              <w:spacing w:line="400" w:lineRule="exact"/>
              <w:jc w:val="center"/>
              <w:rPr>
                <w:rFonts w:ascii="仿宋_GB2312" w:eastAsia="仿宋_GB2312" w:hAnsi="Calibri" w:cs="宋体"/>
                <w:b/>
                <w:bCs/>
                <w:kern w:val="0"/>
                <w:sz w:val="24"/>
                <w:szCs w:val="24"/>
              </w:rPr>
            </w:pPr>
            <w:r w:rsidRPr="00680723">
              <w:rPr>
                <w:rFonts w:ascii="仿宋_GB2312" w:eastAsia="仿宋_GB2312" w:hAnsi="Times New Roman" w:cs="宋体" w:hint="eastAsia"/>
                <w:b/>
                <w:bCs/>
                <w:kern w:val="0"/>
                <w:sz w:val="24"/>
                <w:szCs w:val="24"/>
              </w:rPr>
              <w:t>服务目标</w:t>
            </w:r>
          </w:p>
        </w:tc>
        <w:tc>
          <w:tcPr>
            <w:tcW w:w="4049" w:type="dxa"/>
            <w:tcBorders>
              <w:top w:val="single" w:sz="4" w:space="0" w:color="auto"/>
              <w:left w:val="nil"/>
              <w:bottom w:val="single" w:sz="4" w:space="0" w:color="auto"/>
              <w:right w:val="single" w:sz="4" w:space="0" w:color="auto"/>
            </w:tcBorders>
            <w:vAlign w:val="center"/>
          </w:tcPr>
          <w:p w:rsidR="00630BEA" w:rsidRPr="00680723" w:rsidRDefault="00630BEA" w:rsidP="00921070">
            <w:pPr>
              <w:spacing w:line="400" w:lineRule="exact"/>
              <w:jc w:val="center"/>
              <w:rPr>
                <w:rFonts w:ascii="仿宋_GB2312" w:eastAsia="仿宋_GB2312" w:hAnsi="Calibri" w:cs="宋体"/>
                <w:b/>
                <w:bCs/>
                <w:kern w:val="0"/>
                <w:sz w:val="24"/>
                <w:szCs w:val="24"/>
              </w:rPr>
            </w:pPr>
            <w:r w:rsidRPr="00680723">
              <w:rPr>
                <w:rFonts w:ascii="仿宋_GB2312" w:eastAsia="仿宋_GB2312" w:hAnsi="Times New Roman" w:cs="宋体" w:hint="eastAsia"/>
                <w:b/>
                <w:bCs/>
                <w:kern w:val="0"/>
                <w:sz w:val="24"/>
                <w:szCs w:val="24"/>
              </w:rPr>
              <w:t>服务细项</w:t>
            </w:r>
          </w:p>
        </w:tc>
      </w:tr>
      <w:tr w:rsidR="00630BEA" w:rsidRPr="00680723" w:rsidTr="00921070">
        <w:trPr>
          <w:cantSplit/>
          <w:trHeight w:val="607"/>
          <w:jc w:val="center"/>
        </w:trPr>
        <w:tc>
          <w:tcPr>
            <w:tcW w:w="1495"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3.1日常来访与探访</w:t>
            </w:r>
          </w:p>
        </w:tc>
        <w:tc>
          <w:tcPr>
            <w:tcW w:w="2755"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为日常到访中心的家庭成员，提供休闲、娱乐和人际交往的场所，并为其提供所需政策咨询、资源链接和转介服务等</w:t>
            </w:r>
          </w:p>
        </w:tc>
        <w:tc>
          <w:tcPr>
            <w:tcW w:w="4049" w:type="dxa"/>
            <w:tcBorders>
              <w:top w:val="nil"/>
              <w:left w:val="nil"/>
              <w:bottom w:val="single" w:sz="4" w:space="0" w:color="auto"/>
              <w:right w:val="single" w:sz="4" w:space="0" w:color="auto"/>
            </w:tcBorders>
          </w:tcPr>
          <w:p w:rsidR="00630BEA" w:rsidRPr="00680723" w:rsidRDefault="00630BEA" w:rsidP="00921070">
            <w:pPr>
              <w:spacing w:line="400" w:lineRule="exac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3.1.1建立各类活动室，如图书室、书报室、玩具室、游乐场、儿童成长阁、棋牌室、运动室、</w:t>
            </w:r>
            <w:proofErr w:type="gramStart"/>
            <w:r w:rsidRPr="00680723">
              <w:rPr>
                <w:rFonts w:ascii="仿宋_GB2312" w:eastAsia="仿宋_GB2312" w:hAnsi="Times New Roman" w:cs="宋体" w:hint="eastAsia"/>
                <w:kern w:val="0"/>
                <w:sz w:val="24"/>
                <w:szCs w:val="24"/>
              </w:rPr>
              <w:t>茶话室等</w:t>
            </w:r>
            <w:proofErr w:type="gramEnd"/>
          </w:p>
        </w:tc>
      </w:tr>
      <w:tr w:rsidR="00630BEA" w:rsidRPr="00680723" w:rsidTr="00921070">
        <w:trPr>
          <w:cantSplit/>
          <w:trHeight w:val="225"/>
          <w:jc w:val="center"/>
        </w:trPr>
        <w:tc>
          <w:tcPr>
            <w:tcW w:w="149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75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04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3.1.2政策法律咨询、资源链接与转介服务</w:t>
            </w:r>
          </w:p>
        </w:tc>
      </w:tr>
      <w:tr w:rsidR="00630BEA" w:rsidRPr="00680723" w:rsidTr="00921070">
        <w:trPr>
          <w:cantSplit/>
          <w:trHeight w:val="287"/>
          <w:jc w:val="center"/>
        </w:trPr>
        <w:tc>
          <w:tcPr>
            <w:tcW w:w="149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75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04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3.1.3探访服务</w:t>
            </w:r>
          </w:p>
        </w:tc>
      </w:tr>
      <w:tr w:rsidR="00630BEA" w:rsidRPr="00680723" w:rsidTr="00921070">
        <w:trPr>
          <w:cantSplit/>
          <w:trHeight w:val="335"/>
          <w:jc w:val="center"/>
        </w:trPr>
        <w:tc>
          <w:tcPr>
            <w:tcW w:w="1495"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3.2互助网络</w:t>
            </w:r>
          </w:p>
        </w:tc>
        <w:tc>
          <w:tcPr>
            <w:tcW w:w="2755"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建立社区自主互助网络，促进社区融合</w:t>
            </w:r>
          </w:p>
        </w:tc>
        <w:tc>
          <w:tcPr>
            <w:tcW w:w="404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3.2.1构建妇女互助网络</w:t>
            </w:r>
          </w:p>
        </w:tc>
      </w:tr>
      <w:tr w:rsidR="00630BEA" w:rsidRPr="00680723" w:rsidTr="00921070">
        <w:trPr>
          <w:cantSplit/>
          <w:trHeight w:val="255"/>
          <w:jc w:val="center"/>
        </w:trPr>
        <w:tc>
          <w:tcPr>
            <w:tcW w:w="149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75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04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3.2.2构建儿童互助网络</w:t>
            </w:r>
          </w:p>
        </w:tc>
      </w:tr>
      <w:tr w:rsidR="00630BEA" w:rsidRPr="00680723" w:rsidTr="00921070">
        <w:trPr>
          <w:cantSplit/>
          <w:trHeight w:val="317"/>
          <w:jc w:val="center"/>
        </w:trPr>
        <w:tc>
          <w:tcPr>
            <w:tcW w:w="149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75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04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3.2.3构建邻里互助网络</w:t>
            </w:r>
          </w:p>
        </w:tc>
      </w:tr>
      <w:tr w:rsidR="00630BEA" w:rsidRPr="00680723" w:rsidTr="00921070">
        <w:trPr>
          <w:cantSplit/>
          <w:trHeight w:val="223"/>
          <w:jc w:val="center"/>
        </w:trPr>
        <w:tc>
          <w:tcPr>
            <w:tcW w:w="1495"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3.3社区学校——家庭成长</w:t>
            </w:r>
          </w:p>
        </w:tc>
        <w:tc>
          <w:tcPr>
            <w:tcW w:w="2755"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利用社区内各种教育资源，为家庭提供各类知识及技能培训，以提高社区</w:t>
            </w:r>
            <w:proofErr w:type="gramStart"/>
            <w:r w:rsidRPr="00680723">
              <w:rPr>
                <w:rFonts w:ascii="仿宋_GB2312" w:eastAsia="仿宋_GB2312" w:hAnsi="Times New Roman" w:cs="宋体" w:hint="eastAsia"/>
                <w:kern w:val="0"/>
                <w:sz w:val="24"/>
                <w:szCs w:val="24"/>
              </w:rPr>
              <w:t>内家庭</w:t>
            </w:r>
            <w:proofErr w:type="gramEnd"/>
            <w:r w:rsidRPr="00680723">
              <w:rPr>
                <w:rFonts w:ascii="仿宋_GB2312" w:eastAsia="仿宋_GB2312" w:hAnsi="Times New Roman" w:cs="宋体" w:hint="eastAsia"/>
                <w:kern w:val="0"/>
                <w:sz w:val="24"/>
                <w:szCs w:val="24"/>
              </w:rPr>
              <w:t>的整体素质</w:t>
            </w:r>
          </w:p>
        </w:tc>
        <w:tc>
          <w:tcPr>
            <w:tcW w:w="404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3.3.1四点半学校</w:t>
            </w:r>
          </w:p>
        </w:tc>
      </w:tr>
      <w:tr w:rsidR="00630BEA" w:rsidRPr="00680723" w:rsidTr="00921070">
        <w:trPr>
          <w:cantSplit/>
          <w:trHeight w:val="333"/>
          <w:jc w:val="center"/>
        </w:trPr>
        <w:tc>
          <w:tcPr>
            <w:tcW w:w="149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75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04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3.3.2家庭生活教育</w:t>
            </w:r>
          </w:p>
        </w:tc>
      </w:tr>
      <w:tr w:rsidR="00630BEA" w:rsidRPr="00680723" w:rsidTr="00921070">
        <w:trPr>
          <w:cantSplit/>
          <w:trHeight w:val="253"/>
          <w:jc w:val="center"/>
        </w:trPr>
        <w:tc>
          <w:tcPr>
            <w:tcW w:w="149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75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04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3.3.3家居照顾示范</w:t>
            </w:r>
          </w:p>
        </w:tc>
      </w:tr>
      <w:tr w:rsidR="00630BEA" w:rsidRPr="00680723" w:rsidTr="00921070">
        <w:trPr>
          <w:cantSplit/>
          <w:trHeight w:val="173"/>
          <w:jc w:val="center"/>
        </w:trPr>
        <w:tc>
          <w:tcPr>
            <w:tcW w:w="149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75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04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3.3.4家庭文化建设</w:t>
            </w:r>
          </w:p>
        </w:tc>
      </w:tr>
      <w:tr w:rsidR="00630BEA" w:rsidRPr="00680723" w:rsidTr="00921070">
        <w:trPr>
          <w:cantSplit/>
          <w:trHeight w:val="221"/>
          <w:jc w:val="center"/>
        </w:trPr>
        <w:tc>
          <w:tcPr>
            <w:tcW w:w="149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75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04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3.3.5亲子教育</w:t>
            </w:r>
          </w:p>
        </w:tc>
      </w:tr>
      <w:tr w:rsidR="00630BEA" w:rsidRPr="00680723" w:rsidTr="00921070">
        <w:trPr>
          <w:cantSplit/>
          <w:trHeight w:val="141"/>
          <w:jc w:val="center"/>
        </w:trPr>
        <w:tc>
          <w:tcPr>
            <w:tcW w:w="149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75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04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3.3.6职业技能培训</w:t>
            </w:r>
          </w:p>
        </w:tc>
      </w:tr>
      <w:tr w:rsidR="00630BEA" w:rsidRPr="00680723" w:rsidTr="00921070">
        <w:trPr>
          <w:cantSplit/>
          <w:trHeight w:val="203"/>
          <w:jc w:val="center"/>
        </w:trPr>
        <w:tc>
          <w:tcPr>
            <w:tcW w:w="149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75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04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3.3.7卫生保健知识课程</w:t>
            </w:r>
          </w:p>
        </w:tc>
      </w:tr>
      <w:tr w:rsidR="00630BEA" w:rsidRPr="00680723" w:rsidTr="00921070">
        <w:trPr>
          <w:cantSplit/>
          <w:trHeight w:val="251"/>
          <w:jc w:val="center"/>
        </w:trPr>
        <w:tc>
          <w:tcPr>
            <w:tcW w:w="149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75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04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3.3.8法律知识培训</w:t>
            </w:r>
          </w:p>
        </w:tc>
      </w:tr>
      <w:tr w:rsidR="00630BEA" w:rsidRPr="00680723" w:rsidTr="00921070">
        <w:trPr>
          <w:cantSplit/>
          <w:trHeight w:val="313"/>
          <w:jc w:val="center"/>
        </w:trPr>
        <w:tc>
          <w:tcPr>
            <w:tcW w:w="1495"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3.4家庭辅导与心理减压</w:t>
            </w:r>
          </w:p>
        </w:tc>
        <w:tc>
          <w:tcPr>
            <w:tcW w:w="2755"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为遭遇问题的家庭及其成员，提供相关的辅导及咨询服务</w:t>
            </w:r>
          </w:p>
        </w:tc>
        <w:tc>
          <w:tcPr>
            <w:tcW w:w="404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3.4.1家庭关系协调</w:t>
            </w:r>
          </w:p>
        </w:tc>
      </w:tr>
      <w:tr w:rsidR="00630BEA" w:rsidRPr="00680723" w:rsidTr="00921070">
        <w:trPr>
          <w:cantSplit/>
          <w:trHeight w:val="219"/>
          <w:jc w:val="center"/>
        </w:trPr>
        <w:tc>
          <w:tcPr>
            <w:tcW w:w="149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75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04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3.4.2亲子关系协调</w:t>
            </w:r>
          </w:p>
        </w:tc>
      </w:tr>
      <w:tr w:rsidR="00630BEA" w:rsidRPr="00680723" w:rsidTr="00921070">
        <w:trPr>
          <w:cantSplit/>
          <w:trHeight w:val="281"/>
          <w:jc w:val="center"/>
        </w:trPr>
        <w:tc>
          <w:tcPr>
            <w:tcW w:w="149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75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04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3.4.3儿童身心健康成长辅导</w:t>
            </w:r>
          </w:p>
        </w:tc>
      </w:tr>
      <w:tr w:rsidR="00630BEA" w:rsidRPr="00680723" w:rsidTr="00921070">
        <w:trPr>
          <w:cantSplit/>
          <w:trHeight w:val="201"/>
          <w:jc w:val="center"/>
        </w:trPr>
        <w:tc>
          <w:tcPr>
            <w:tcW w:w="149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75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04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3.4.4婚姻家庭问题咨询</w:t>
            </w:r>
          </w:p>
        </w:tc>
      </w:tr>
      <w:tr w:rsidR="00630BEA" w:rsidRPr="00680723" w:rsidTr="00921070">
        <w:trPr>
          <w:cantSplit/>
          <w:trHeight w:val="248"/>
          <w:jc w:val="center"/>
        </w:trPr>
        <w:tc>
          <w:tcPr>
            <w:tcW w:w="149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75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04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3.4.5心理减压、疏导服务</w:t>
            </w:r>
          </w:p>
        </w:tc>
      </w:tr>
      <w:tr w:rsidR="00630BEA" w:rsidRPr="00680723" w:rsidTr="00921070">
        <w:trPr>
          <w:cantSplit/>
          <w:trHeight w:val="274"/>
          <w:jc w:val="center"/>
        </w:trPr>
        <w:tc>
          <w:tcPr>
            <w:tcW w:w="1495"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3.5家庭危机介入</w:t>
            </w:r>
          </w:p>
        </w:tc>
        <w:tc>
          <w:tcPr>
            <w:tcW w:w="2755"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针对家庭危机而展开的调适和治疗，以快速、有效地帮助家庭摆脱危机的影响</w:t>
            </w:r>
          </w:p>
        </w:tc>
        <w:tc>
          <w:tcPr>
            <w:tcW w:w="404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3.5.1单亲家庭服务</w:t>
            </w:r>
          </w:p>
        </w:tc>
      </w:tr>
      <w:tr w:rsidR="00630BEA" w:rsidRPr="00680723" w:rsidTr="00921070">
        <w:trPr>
          <w:cantSplit/>
          <w:trHeight w:val="336"/>
          <w:jc w:val="center"/>
        </w:trPr>
        <w:tc>
          <w:tcPr>
            <w:tcW w:w="149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75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04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3.5.2</w:t>
            </w:r>
            <w:proofErr w:type="gramStart"/>
            <w:r w:rsidRPr="00680723">
              <w:rPr>
                <w:rFonts w:ascii="仿宋_GB2312" w:eastAsia="仿宋_GB2312" w:hAnsi="Times New Roman" w:cs="宋体" w:hint="eastAsia"/>
                <w:kern w:val="0"/>
                <w:sz w:val="24"/>
                <w:szCs w:val="24"/>
              </w:rPr>
              <w:t>低保家庭</w:t>
            </w:r>
            <w:proofErr w:type="gramEnd"/>
            <w:r w:rsidRPr="00680723">
              <w:rPr>
                <w:rFonts w:ascii="仿宋_GB2312" w:eastAsia="仿宋_GB2312" w:hAnsi="Times New Roman" w:cs="宋体" w:hint="eastAsia"/>
                <w:kern w:val="0"/>
                <w:sz w:val="24"/>
                <w:szCs w:val="24"/>
              </w:rPr>
              <w:t>服务</w:t>
            </w:r>
          </w:p>
        </w:tc>
      </w:tr>
      <w:tr w:rsidR="00630BEA" w:rsidRPr="00680723" w:rsidTr="00921070">
        <w:trPr>
          <w:cantSplit/>
          <w:trHeight w:val="398"/>
          <w:jc w:val="center"/>
        </w:trPr>
        <w:tc>
          <w:tcPr>
            <w:tcW w:w="149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75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04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3.5.3空巢家庭服务</w:t>
            </w:r>
          </w:p>
        </w:tc>
      </w:tr>
      <w:tr w:rsidR="00630BEA" w:rsidRPr="00680723" w:rsidTr="00921070">
        <w:trPr>
          <w:cantSplit/>
          <w:trHeight w:val="262"/>
          <w:jc w:val="center"/>
        </w:trPr>
        <w:tc>
          <w:tcPr>
            <w:tcW w:w="149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75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04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3.5.4家庭救助服务</w:t>
            </w:r>
          </w:p>
        </w:tc>
      </w:tr>
      <w:tr w:rsidR="00630BEA" w:rsidRPr="00680723" w:rsidTr="00921070">
        <w:trPr>
          <w:cantSplit/>
          <w:trHeight w:val="323"/>
          <w:jc w:val="center"/>
        </w:trPr>
        <w:tc>
          <w:tcPr>
            <w:tcW w:w="149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75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04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3.5.5</w:t>
            </w:r>
            <w:proofErr w:type="gramStart"/>
            <w:r w:rsidRPr="00680723">
              <w:rPr>
                <w:rFonts w:ascii="仿宋_GB2312" w:eastAsia="仿宋_GB2312" w:hAnsi="Times New Roman" w:cs="宋体" w:hint="eastAsia"/>
                <w:kern w:val="0"/>
                <w:sz w:val="24"/>
                <w:szCs w:val="24"/>
              </w:rPr>
              <w:t>反家暴服务</w:t>
            </w:r>
            <w:proofErr w:type="gramEnd"/>
          </w:p>
        </w:tc>
      </w:tr>
      <w:tr w:rsidR="00630BEA" w:rsidRPr="00680723" w:rsidTr="00921070">
        <w:trPr>
          <w:cantSplit/>
          <w:trHeight w:val="101"/>
          <w:jc w:val="center"/>
        </w:trPr>
        <w:tc>
          <w:tcPr>
            <w:tcW w:w="149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75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04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3.5.6危机干预</w:t>
            </w:r>
          </w:p>
        </w:tc>
      </w:tr>
    </w:tbl>
    <w:p w:rsidR="00630BEA" w:rsidRPr="00680723" w:rsidRDefault="00630BEA" w:rsidP="00630BEA">
      <w:pPr>
        <w:snapToGrid w:val="0"/>
        <w:jc w:val="left"/>
        <w:rPr>
          <w:rFonts w:ascii="仿宋_GB2312" w:eastAsia="仿宋_GB2312" w:hAnsi="Times New Roman" w:cs="宋体"/>
          <w:b/>
          <w:bCs/>
          <w:kern w:val="0"/>
          <w:sz w:val="24"/>
          <w:szCs w:val="24"/>
        </w:rPr>
      </w:pPr>
      <w:r w:rsidRPr="00680723">
        <w:rPr>
          <w:rFonts w:ascii="仿宋_GB2312" w:eastAsia="仿宋_GB2312" w:hAnsi="Times New Roman" w:cs="宋体" w:hint="eastAsia"/>
          <w:b/>
          <w:bCs/>
          <w:kern w:val="0"/>
          <w:sz w:val="24"/>
          <w:szCs w:val="24"/>
        </w:rPr>
        <w:br w:type="page"/>
      </w:r>
      <w:r w:rsidRPr="00680723">
        <w:rPr>
          <w:rFonts w:ascii="仿宋_GB2312" w:eastAsia="仿宋_GB2312" w:hAnsi="Times New Roman" w:cs="宋体" w:hint="eastAsia"/>
          <w:b/>
          <w:bCs/>
          <w:kern w:val="0"/>
          <w:sz w:val="24"/>
          <w:szCs w:val="24"/>
        </w:rPr>
        <w:lastRenderedPageBreak/>
        <w:t>表四：</w:t>
      </w:r>
    </w:p>
    <w:p w:rsidR="00630BEA" w:rsidRPr="00680723" w:rsidRDefault="00630BEA" w:rsidP="00630BEA">
      <w:pPr>
        <w:snapToGrid w:val="0"/>
        <w:spacing w:after="100" w:afterAutospacing="1"/>
        <w:jc w:val="center"/>
        <w:rPr>
          <w:rFonts w:ascii="仿宋_GB2312" w:eastAsia="仿宋_GB2312" w:hAnsi="Times New Roman" w:cs="宋体"/>
          <w:b/>
          <w:bCs/>
          <w:kern w:val="0"/>
          <w:sz w:val="24"/>
          <w:szCs w:val="24"/>
        </w:rPr>
      </w:pPr>
      <w:r w:rsidRPr="00680723">
        <w:rPr>
          <w:rFonts w:ascii="仿宋_GB2312" w:eastAsia="仿宋_GB2312" w:hAnsi="Times New Roman" w:cs="宋体" w:hint="eastAsia"/>
          <w:b/>
          <w:bCs/>
          <w:kern w:val="0"/>
          <w:sz w:val="24"/>
          <w:szCs w:val="24"/>
        </w:rPr>
        <w:t>社区青少年公共服务内容建议表</w:t>
      </w:r>
    </w:p>
    <w:tbl>
      <w:tblPr>
        <w:tblW w:w="0" w:type="auto"/>
        <w:jc w:val="center"/>
        <w:tblLayout w:type="fixed"/>
        <w:tblCellMar>
          <w:left w:w="0" w:type="dxa"/>
          <w:right w:w="0" w:type="dxa"/>
        </w:tblCellMar>
        <w:tblLook w:val="0000" w:firstRow="0" w:lastRow="0" w:firstColumn="0" w:lastColumn="0" w:noHBand="0" w:noVBand="0"/>
      </w:tblPr>
      <w:tblGrid>
        <w:gridCol w:w="1436"/>
        <w:gridCol w:w="2693"/>
        <w:gridCol w:w="4131"/>
      </w:tblGrid>
      <w:tr w:rsidR="00630BEA" w:rsidRPr="00680723" w:rsidTr="00921070">
        <w:trPr>
          <w:trHeight w:val="305"/>
          <w:jc w:val="center"/>
        </w:trPr>
        <w:tc>
          <w:tcPr>
            <w:tcW w:w="143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400" w:lineRule="exact"/>
              <w:jc w:val="center"/>
              <w:rPr>
                <w:rFonts w:ascii="仿宋_GB2312" w:eastAsia="仿宋_GB2312" w:hAnsi="Calibri" w:cs="宋体"/>
                <w:b/>
                <w:bCs/>
                <w:kern w:val="0"/>
                <w:sz w:val="24"/>
                <w:szCs w:val="24"/>
              </w:rPr>
            </w:pPr>
            <w:r w:rsidRPr="00680723">
              <w:rPr>
                <w:rFonts w:ascii="仿宋_GB2312" w:eastAsia="仿宋_GB2312" w:hAnsi="Times New Roman" w:cs="宋体" w:hint="eastAsia"/>
                <w:b/>
                <w:bCs/>
                <w:kern w:val="0"/>
                <w:sz w:val="24"/>
                <w:szCs w:val="24"/>
              </w:rPr>
              <w:t>服务大项</w:t>
            </w:r>
          </w:p>
        </w:tc>
        <w:tc>
          <w:tcPr>
            <w:tcW w:w="2693" w:type="dxa"/>
            <w:tcBorders>
              <w:top w:val="single" w:sz="4" w:space="0" w:color="auto"/>
              <w:left w:val="nil"/>
              <w:bottom w:val="single" w:sz="4" w:space="0" w:color="auto"/>
              <w:right w:val="single" w:sz="4" w:space="0" w:color="auto"/>
            </w:tcBorders>
            <w:vAlign w:val="center"/>
          </w:tcPr>
          <w:p w:rsidR="00630BEA" w:rsidRPr="00680723" w:rsidRDefault="00630BEA" w:rsidP="00921070">
            <w:pPr>
              <w:spacing w:line="400" w:lineRule="exact"/>
              <w:jc w:val="center"/>
              <w:rPr>
                <w:rFonts w:ascii="仿宋_GB2312" w:eastAsia="仿宋_GB2312" w:hAnsi="Calibri" w:cs="宋体"/>
                <w:b/>
                <w:bCs/>
                <w:kern w:val="0"/>
                <w:sz w:val="24"/>
                <w:szCs w:val="24"/>
              </w:rPr>
            </w:pPr>
            <w:r w:rsidRPr="00680723">
              <w:rPr>
                <w:rFonts w:ascii="仿宋_GB2312" w:eastAsia="仿宋_GB2312" w:hAnsi="Times New Roman" w:cs="宋体" w:hint="eastAsia"/>
                <w:b/>
                <w:bCs/>
                <w:kern w:val="0"/>
                <w:sz w:val="24"/>
                <w:szCs w:val="24"/>
              </w:rPr>
              <w:t>服务目标</w:t>
            </w:r>
          </w:p>
        </w:tc>
        <w:tc>
          <w:tcPr>
            <w:tcW w:w="4131" w:type="dxa"/>
            <w:tcBorders>
              <w:top w:val="single" w:sz="4" w:space="0" w:color="auto"/>
              <w:left w:val="nil"/>
              <w:bottom w:val="single" w:sz="4" w:space="0" w:color="auto"/>
              <w:right w:val="single" w:sz="4" w:space="0" w:color="auto"/>
            </w:tcBorders>
            <w:vAlign w:val="center"/>
          </w:tcPr>
          <w:p w:rsidR="00630BEA" w:rsidRPr="00680723" w:rsidRDefault="00630BEA" w:rsidP="00921070">
            <w:pPr>
              <w:spacing w:line="400" w:lineRule="exact"/>
              <w:jc w:val="center"/>
              <w:rPr>
                <w:rFonts w:ascii="仿宋_GB2312" w:eastAsia="仿宋_GB2312" w:hAnsi="Calibri" w:cs="宋体"/>
                <w:b/>
                <w:bCs/>
                <w:kern w:val="0"/>
                <w:sz w:val="24"/>
                <w:szCs w:val="24"/>
              </w:rPr>
            </w:pPr>
            <w:r w:rsidRPr="00680723">
              <w:rPr>
                <w:rFonts w:ascii="仿宋_GB2312" w:eastAsia="仿宋_GB2312" w:hAnsi="Times New Roman" w:cs="宋体" w:hint="eastAsia"/>
                <w:b/>
                <w:bCs/>
                <w:kern w:val="0"/>
                <w:sz w:val="24"/>
                <w:szCs w:val="24"/>
              </w:rPr>
              <w:t>服务细项</w:t>
            </w:r>
          </w:p>
        </w:tc>
      </w:tr>
      <w:tr w:rsidR="00630BEA" w:rsidRPr="00680723" w:rsidTr="00921070">
        <w:trPr>
          <w:cantSplit/>
          <w:trHeight w:val="780"/>
          <w:jc w:val="center"/>
        </w:trPr>
        <w:tc>
          <w:tcPr>
            <w:tcW w:w="1436"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4.1日常来访与探访</w:t>
            </w:r>
          </w:p>
        </w:tc>
        <w:tc>
          <w:tcPr>
            <w:tcW w:w="2693"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为日常到访中心的青少年提供娱乐、休闲及同伴群体交往的空间，并为其提供所需的资源链接及转介服务</w:t>
            </w:r>
          </w:p>
        </w:tc>
        <w:tc>
          <w:tcPr>
            <w:tcW w:w="4131" w:type="dxa"/>
            <w:tcBorders>
              <w:top w:val="nil"/>
              <w:left w:val="nil"/>
              <w:bottom w:val="single" w:sz="4" w:space="0" w:color="auto"/>
              <w:right w:val="single" w:sz="4" w:space="0" w:color="auto"/>
            </w:tcBorders>
          </w:tcPr>
          <w:p w:rsidR="00630BEA" w:rsidRPr="00680723" w:rsidRDefault="00630BEA" w:rsidP="00921070">
            <w:pPr>
              <w:spacing w:line="400" w:lineRule="exac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4.1.1建立符合青少年需求的图书室、书报室、茶话室、网络室、活动室、涂鸦室、音乐室等</w:t>
            </w:r>
          </w:p>
        </w:tc>
      </w:tr>
      <w:tr w:rsidR="00630BEA" w:rsidRPr="00680723" w:rsidTr="00921070">
        <w:trPr>
          <w:cantSplit/>
          <w:trHeight w:val="257"/>
          <w:jc w:val="center"/>
        </w:trPr>
        <w:tc>
          <w:tcPr>
            <w:tcW w:w="143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693"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131"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4.1.2政策咨询、资源链接及转介服务</w:t>
            </w:r>
          </w:p>
        </w:tc>
      </w:tr>
      <w:tr w:rsidR="00630BEA" w:rsidRPr="00680723" w:rsidTr="00921070">
        <w:trPr>
          <w:cantSplit/>
          <w:trHeight w:val="177"/>
          <w:jc w:val="center"/>
        </w:trPr>
        <w:tc>
          <w:tcPr>
            <w:tcW w:w="143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693"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131"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4.1.3探访服务</w:t>
            </w:r>
          </w:p>
        </w:tc>
      </w:tr>
      <w:tr w:rsidR="00630BEA" w:rsidRPr="00680723" w:rsidTr="00921070">
        <w:trPr>
          <w:cantSplit/>
          <w:trHeight w:val="225"/>
          <w:jc w:val="center"/>
        </w:trPr>
        <w:tc>
          <w:tcPr>
            <w:tcW w:w="1436"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4.2社区学校——青少年成长</w:t>
            </w:r>
          </w:p>
        </w:tc>
        <w:tc>
          <w:tcPr>
            <w:tcW w:w="2693"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承担青少年</w:t>
            </w:r>
            <w:proofErr w:type="gramStart"/>
            <w:r w:rsidRPr="00680723">
              <w:rPr>
                <w:rFonts w:ascii="仿宋_GB2312" w:eastAsia="仿宋_GB2312" w:hAnsi="Times New Roman" w:cs="宋体" w:hint="eastAsia"/>
                <w:kern w:val="0"/>
                <w:sz w:val="24"/>
                <w:szCs w:val="24"/>
              </w:rPr>
              <w:t>校外素质</w:t>
            </w:r>
            <w:proofErr w:type="gramEnd"/>
            <w:r w:rsidRPr="00680723">
              <w:rPr>
                <w:rFonts w:ascii="仿宋_GB2312" w:eastAsia="仿宋_GB2312" w:hAnsi="Times New Roman" w:cs="宋体" w:hint="eastAsia"/>
                <w:kern w:val="0"/>
                <w:sz w:val="24"/>
                <w:szCs w:val="24"/>
              </w:rPr>
              <w:t>教育工作，为青少年群体提供相关知识及技能的培训，并促进其树立健康的意识和行为</w:t>
            </w:r>
          </w:p>
        </w:tc>
        <w:tc>
          <w:tcPr>
            <w:tcW w:w="4131"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4.2.1社会实践</w:t>
            </w:r>
          </w:p>
        </w:tc>
      </w:tr>
      <w:tr w:rsidR="00630BEA" w:rsidRPr="00680723" w:rsidTr="00921070">
        <w:trPr>
          <w:cantSplit/>
          <w:trHeight w:val="287"/>
          <w:jc w:val="center"/>
        </w:trPr>
        <w:tc>
          <w:tcPr>
            <w:tcW w:w="143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693"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131"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4.2.2职业技能培训</w:t>
            </w:r>
          </w:p>
        </w:tc>
      </w:tr>
      <w:tr w:rsidR="00630BEA" w:rsidRPr="00680723" w:rsidTr="00921070">
        <w:trPr>
          <w:cantSplit/>
          <w:trHeight w:val="207"/>
          <w:jc w:val="center"/>
        </w:trPr>
        <w:tc>
          <w:tcPr>
            <w:tcW w:w="143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693"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131"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4.2.3课业辅导</w:t>
            </w:r>
          </w:p>
        </w:tc>
      </w:tr>
      <w:tr w:rsidR="00630BEA" w:rsidRPr="00680723" w:rsidTr="00921070">
        <w:trPr>
          <w:cantSplit/>
          <w:trHeight w:val="538"/>
          <w:jc w:val="center"/>
        </w:trPr>
        <w:tc>
          <w:tcPr>
            <w:tcW w:w="143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693"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131"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4.2.4社会融合、社会参与和社会服务意识培养</w:t>
            </w:r>
          </w:p>
        </w:tc>
      </w:tr>
      <w:tr w:rsidR="00630BEA" w:rsidRPr="00680723" w:rsidTr="00921070">
        <w:trPr>
          <w:cantSplit/>
          <w:trHeight w:val="237"/>
          <w:jc w:val="center"/>
        </w:trPr>
        <w:tc>
          <w:tcPr>
            <w:tcW w:w="143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693"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131"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4.2.5青春期教育</w:t>
            </w:r>
          </w:p>
        </w:tc>
      </w:tr>
      <w:tr w:rsidR="00630BEA" w:rsidRPr="00680723" w:rsidTr="00921070">
        <w:trPr>
          <w:cantSplit/>
          <w:trHeight w:val="299"/>
          <w:jc w:val="center"/>
        </w:trPr>
        <w:tc>
          <w:tcPr>
            <w:tcW w:w="143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693"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131"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4.2.6婚恋知识讲座</w:t>
            </w:r>
          </w:p>
        </w:tc>
      </w:tr>
      <w:tr w:rsidR="00630BEA" w:rsidRPr="00680723" w:rsidTr="00921070">
        <w:trPr>
          <w:cantSplit/>
          <w:trHeight w:val="219"/>
          <w:jc w:val="center"/>
        </w:trPr>
        <w:tc>
          <w:tcPr>
            <w:tcW w:w="1436"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4.3成长辅导</w:t>
            </w:r>
          </w:p>
        </w:tc>
        <w:tc>
          <w:tcPr>
            <w:tcW w:w="2693"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针对青少年成长中遇到的问题，给予指导，协助其顺利度过青春期</w:t>
            </w:r>
          </w:p>
        </w:tc>
        <w:tc>
          <w:tcPr>
            <w:tcW w:w="4131"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4.3.1心理及情绪辅导</w:t>
            </w:r>
          </w:p>
        </w:tc>
      </w:tr>
      <w:tr w:rsidR="00630BEA" w:rsidRPr="00680723" w:rsidTr="00921070">
        <w:trPr>
          <w:cantSplit/>
          <w:trHeight w:val="267"/>
          <w:jc w:val="center"/>
        </w:trPr>
        <w:tc>
          <w:tcPr>
            <w:tcW w:w="143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693"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131"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4.3.2思想品格辅导</w:t>
            </w:r>
          </w:p>
        </w:tc>
      </w:tr>
      <w:tr w:rsidR="00630BEA" w:rsidRPr="00680723" w:rsidTr="00921070">
        <w:trPr>
          <w:cantSplit/>
          <w:trHeight w:val="187"/>
          <w:jc w:val="center"/>
        </w:trPr>
        <w:tc>
          <w:tcPr>
            <w:tcW w:w="143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693"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131"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4.3.3</w:t>
            </w:r>
            <w:proofErr w:type="gramStart"/>
            <w:r w:rsidRPr="00680723">
              <w:rPr>
                <w:rFonts w:ascii="仿宋_GB2312" w:eastAsia="仿宋_GB2312" w:hAnsi="Times New Roman" w:cs="宋体" w:hint="eastAsia"/>
                <w:kern w:val="0"/>
                <w:sz w:val="24"/>
                <w:szCs w:val="24"/>
              </w:rPr>
              <w:t>抗逆力培养</w:t>
            </w:r>
            <w:proofErr w:type="gramEnd"/>
          </w:p>
        </w:tc>
      </w:tr>
      <w:tr w:rsidR="00630BEA" w:rsidRPr="00680723" w:rsidTr="00921070">
        <w:trPr>
          <w:cantSplit/>
          <w:trHeight w:val="94"/>
          <w:jc w:val="center"/>
        </w:trPr>
        <w:tc>
          <w:tcPr>
            <w:tcW w:w="143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693"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131"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4.3.4婚恋指导</w:t>
            </w:r>
          </w:p>
        </w:tc>
      </w:tr>
      <w:tr w:rsidR="00630BEA" w:rsidRPr="00680723" w:rsidTr="00921070">
        <w:trPr>
          <w:cantSplit/>
          <w:trHeight w:val="297"/>
          <w:jc w:val="center"/>
        </w:trPr>
        <w:tc>
          <w:tcPr>
            <w:tcW w:w="143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693"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131"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4.3.5性知识、性心理辅导</w:t>
            </w:r>
          </w:p>
        </w:tc>
      </w:tr>
      <w:tr w:rsidR="00630BEA" w:rsidRPr="00680723" w:rsidTr="00921070">
        <w:trPr>
          <w:cantSplit/>
          <w:trHeight w:val="217"/>
          <w:jc w:val="center"/>
        </w:trPr>
        <w:tc>
          <w:tcPr>
            <w:tcW w:w="143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693"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131"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4.3.6青春期生理辅导</w:t>
            </w:r>
          </w:p>
        </w:tc>
      </w:tr>
      <w:tr w:rsidR="00630BEA" w:rsidRPr="00680723" w:rsidTr="00921070">
        <w:trPr>
          <w:cantSplit/>
          <w:trHeight w:val="264"/>
          <w:jc w:val="center"/>
        </w:trPr>
        <w:tc>
          <w:tcPr>
            <w:tcW w:w="143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693"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131"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4.3.7职业指导及职业生涯规划</w:t>
            </w:r>
          </w:p>
        </w:tc>
      </w:tr>
      <w:tr w:rsidR="00630BEA" w:rsidRPr="00680723" w:rsidTr="00921070">
        <w:trPr>
          <w:cantSplit/>
          <w:trHeight w:val="274"/>
          <w:jc w:val="center"/>
        </w:trPr>
        <w:tc>
          <w:tcPr>
            <w:tcW w:w="143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693"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131"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4.3.8历奇辅导</w:t>
            </w:r>
          </w:p>
        </w:tc>
      </w:tr>
      <w:tr w:rsidR="00630BEA" w:rsidRPr="00680723" w:rsidTr="00921070">
        <w:trPr>
          <w:cantSplit/>
          <w:trHeight w:val="194"/>
          <w:jc w:val="center"/>
        </w:trPr>
        <w:tc>
          <w:tcPr>
            <w:tcW w:w="143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693"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131"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4.3.9就学辅导</w:t>
            </w:r>
          </w:p>
        </w:tc>
      </w:tr>
      <w:tr w:rsidR="00630BEA" w:rsidRPr="00680723" w:rsidTr="00921070">
        <w:trPr>
          <w:cantSplit/>
          <w:trHeight w:val="256"/>
          <w:jc w:val="center"/>
        </w:trPr>
        <w:tc>
          <w:tcPr>
            <w:tcW w:w="143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693"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131"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4.3.10生活方式与人际交往辅导</w:t>
            </w:r>
          </w:p>
        </w:tc>
      </w:tr>
      <w:tr w:rsidR="00630BEA" w:rsidRPr="00680723" w:rsidTr="00921070">
        <w:trPr>
          <w:cantSplit/>
          <w:trHeight w:val="318"/>
          <w:jc w:val="center"/>
        </w:trPr>
        <w:tc>
          <w:tcPr>
            <w:tcW w:w="1436"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4.4危机介入</w:t>
            </w:r>
          </w:p>
        </w:tc>
        <w:tc>
          <w:tcPr>
            <w:tcW w:w="2693"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对处于危机中的青少年进行及时、有效的调试和治疗，降低危机程度，缓解其压力，促进其健康成长</w:t>
            </w:r>
          </w:p>
        </w:tc>
        <w:tc>
          <w:tcPr>
            <w:tcW w:w="4131"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4.4.1行为偏差及矫正服务</w:t>
            </w:r>
          </w:p>
        </w:tc>
      </w:tr>
      <w:tr w:rsidR="00630BEA" w:rsidRPr="00680723" w:rsidTr="00921070">
        <w:trPr>
          <w:cantSplit/>
          <w:trHeight w:val="224"/>
          <w:jc w:val="center"/>
        </w:trPr>
        <w:tc>
          <w:tcPr>
            <w:tcW w:w="143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693"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131"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4.4.2犯罪青少年矫正服务</w:t>
            </w:r>
          </w:p>
        </w:tc>
      </w:tr>
      <w:tr w:rsidR="00630BEA" w:rsidRPr="00680723" w:rsidTr="00921070">
        <w:trPr>
          <w:cantSplit/>
          <w:trHeight w:val="568"/>
          <w:jc w:val="center"/>
        </w:trPr>
        <w:tc>
          <w:tcPr>
            <w:tcW w:w="143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693"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131"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4.4.3社会双待（待上学、待就业）青少年的行为指导、人生规划支援服务</w:t>
            </w:r>
          </w:p>
        </w:tc>
      </w:tr>
      <w:tr w:rsidR="00630BEA" w:rsidRPr="00680723" w:rsidTr="00921070">
        <w:trPr>
          <w:cantSplit/>
          <w:trHeight w:val="266"/>
          <w:jc w:val="center"/>
        </w:trPr>
        <w:tc>
          <w:tcPr>
            <w:tcW w:w="143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693"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131"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4.4.4弱势青少年维权、保障服务</w:t>
            </w:r>
          </w:p>
        </w:tc>
      </w:tr>
    </w:tbl>
    <w:p w:rsidR="00630BEA" w:rsidRPr="00680723" w:rsidRDefault="00630BEA" w:rsidP="00630BEA">
      <w:pPr>
        <w:snapToGrid w:val="0"/>
        <w:jc w:val="left"/>
        <w:rPr>
          <w:rFonts w:ascii="仿宋_GB2312" w:eastAsia="仿宋_GB2312" w:hAnsi="Times New Roman" w:cs="宋体"/>
          <w:b/>
          <w:bCs/>
          <w:kern w:val="0"/>
          <w:sz w:val="24"/>
          <w:szCs w:val="24"/>
        </w:rPr>
      </w:pPr>
      <w:r w:rsidRPr="00680723">
        <w:rPr>
          <w:rFonts w:ascii="仿宋_GB2312" w:eastAsia="仿宋_GB2312" w:hAnsi="Calibri" w:cs="宋体" w:hint="eastAsia"/>
          <w:b/>
          <w:bCs/>
          <w:kern w:val="0"/>
          <w:sz w:val="24"/>
          <w:szCs w:val="24"/>
        </w:rPr>
        <w:br w:type="page"/>
      </w:r>
      <w:r w:rsidRPr="00680723">
        <w:rPr>
          <w:rFonts w:ascii="仿宋_GB2312" w:eastAsia="仿宋_GB2312" w:hAnsi="Times New Roman" w:cs="宋体" w:hint="eastAsia"/>
          <w:b/>
          <w:bCs/>
          <w:kern w:val="0"/>
          <w:sz w:val="24"/>
          <w:szCs w:val="24"/>
        </w:rPr>
        <w:lastRenderedPageBreak/>
        <w:t>表五：</w:t>
      </w:r>
    </w:p>
    <w:p w:rsidR="00630BEA" w:rsidRPr="00680723" w:rsidRDefault="00630BEA" w:rsidP="00630BEA">
      <w:pPr>
        <w:snapToGrid w:val="0"/>
        <w:spacing w:after="100" w:afterAutospacing="1"/>
        <w:jc w:val="center"/>
        <w:rPr>
          <w:rFonts w:ascii="仿宋_GB2312" w:eastAsia="仿宋_GB2312" w:hAnsi="Times New Roman" w:cs="宋体"/>
          <w:b/>
          <w:bCs/>
          <w:kern w:val="0"/>
          <w:sz w:val="24"/>
          <w:szCs w:val="24"/>
        </w:rPr>
      </w:pPr>
      <w:r w:rsidRPr="00680723">
        <w:rPr>
          <w:rFonts w:ascii="仿宋_GB2312" w:eastAsia="仿宋_GB2312" w:hAnsi="Times New Roman" w:cs="宋体" w:hint="eastAsia"/>
          <w:b/>
          <w:bCs/>
          <w:kern w:val="0"/>
          <w:sz w:val="24"/>
          <w:szCs w:val="24"/>
        </w:rPr>
        <w:t>社区优抚对象公共服务内容建议表</w:t>
      </w:r>
    </w:p>
    <w:tbl>
      <w:tblPr>
        <w:tblW w:w="0" w:type="auto"/>
        <w:jc w:val="center"/>
        <w:tblLayout w:type="fixed"/>
        <w:tblCellMar>
          <w:left w:w="0" w:type="dxa"/>
          <w:right w:w="0" w:type="dxa"/>
        </w:tblCellMar>
        <w:tblLook w:val="0000" w:firstRow="0" w:lastRow="0" w:firstColumn="0" w:lastColumn="0" w:noHBand="0" w:noVBand="0"/>
      </w:tblPr>
      <w:tblGrid>
        <w:gridCol w:w="1645"/>
        <w:gridCol w:w="2325"/>
        <w:gridCol w:w="4395"/>
      </w:tblGrid>
      <w:tr w:rsidR="00630BEA" w:rsidRPr="00680723" w:rsidTr="00921070">
        <w:trPr>
          <w:trHeight w:val="303"/>
          <w:jc w:val="center"/>
        </w:trPr>
        <w:tc>
          <w:tcPr>
            <w:tcW w:w="1645"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b/>
                <w:bCs/>
                <w:kern w:val="0"/>
                <w:sz w:val="24"/>
                <w:szCs w:val="24"/>
              </w:rPr>
              <w:t>服务大项</w:t>
            </w:r>
          </w:p>
        </w:tc>
        <w:tc>
          <w:tcPr>
            <w:tcW w:w="2325" w:type="dxa"/>
            <w:tcBorders>
              <w:top w:val="single" w:sz="4" w:space="0" w:color="auto"/>
              <w:left w:val="nil"/>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b/>
                <w:bCs/>
                <w:kern w:val="0"/>
                <w:sz w:val="24"/>
                <w:szCs w:val="24"/>
              </w:rPr>
              <w:t>服务目标</w:t>
            </w:r>
          </w:p>
        </w:tc>
        <w:tc>
          <w:tcPr>
            <w:tcW w:w="4395" w:type="dxa"/>
            <w:tcBorders>
              <w:top w:val="single" w:sz="4" w:space="0" w:color="auto"/>
              <w:left w:val="nil"/>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b/>
                <w:bCs/>
                <w:kern w:val="0"/>
                <w:sz w:val="24"/>
                <w:szCs w:val="24"/>
              </w:rPr>
              <w:t>服务细项</w:t>
            </w:r>
          </w:p>
        </w:tc>
      </w:tr>
      <w:tr w:rsidR="00630BEA" w:rsidRPr="00680723" w:rsidTr="00921070">
        <w:trPr>
          <w:cantSplit/>
          <w:trHeight w:val="241"/>
          <w:jc w:val="center"/>
        </w:trPr>
        <w:tc>
          <w:tcPr>
            <w:tcW w:w="1645"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5.1日常</w:t>
            </w:r>
            <w:proofErr w:type="gramStart"/>
            <w:r w:rsidRPr="00680723">
              <w:rPr>
                <w:rFonts w:ascii="仿宋_GB2312" w:eastAsia="仿宋_GB2312" w:hAnsi="Times New Roman" w:cs="宋体" w:hint="eastAsia"/>
                <w:kern w:val="0"/>
                <w:sz w:val="24"/>
                <w:szCs w:val="24"/>
              </w:rPr>
              <w:t>接访与走访</w:t>
            </w:r>
            <w:proofErr w:type="gramEnd"/>
          </w:p>
        </w:tc>
        <w:tc>
          <w:tcPr>
            <w:tcW w:w="2325"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为日常到访中心的优抚对象提供娱乐、休闲及同伴群体交往的空间，并为其提供所需的资源链接及转介服务</w:t>
            </w:r>
          </w:p>
        </w:tc>
        <w:tc>
          <w:tcPr>
            <w:tcW w:w="4395"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5.1.1优抚对象资料建档</w:t>
            </w:r>
          </w:p>
        </w:tc>
      </w:tr>
      <w:tr w:rsidR="00630BEA" w:rsidRPr="00680723" w:rsidTr="00921070">
        <w:trPr>
          <w:cantSplit/>
          <w:trHeight w:val="303"/>
          <w:jc w:val="center"/>
        </w:trPr>
        <w:tc>
          <w:tcPr>
            <w:tcW w:w="164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32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395"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5.1.2定期开展拥军优属社区宣传</w:t>
            </w:r>
          </w:p>
        </w:tc>
      </w:tr>
      <w:tr w:rsidR="00630BEA" w:rsidRPr="00680723" w:rsidTr="00921070">
        <w:trPr>
          <w:cantSplit/>
          <w:trHeight w:val="209"/>
          <w:jc w:val="center"/>
        </w:trPr>
        <w:tc>
          <w:tcPr>
            <w:tcW w:w="164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32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395"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5.1.3家庭走访、慰问</w:t>
            </w:r>
          </w:p>
        </w:tc>
      </w:tr>
      <w:tr w:rsidR="00630BEA" w:rsidRPr="00680723" w:rsidTr="00921070">
        <w:trPr>
          <w:cantSplit/>
          <w:trHeight w:val="271"/>
          <w:jc w:val="center"/>
        </w:trPr>
        <w:tc>
          <w:tcPr>
            <w:tcW w:w="164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32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395"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5.1.4政策咨询服务</w:t>
            </w:r>
          </w:p>
        </w:tc>
      </w:tr>
      <w:tr w:rsidR="00630BEA" w:rsidRPr="00680723" w:rsidTr="00921070">
        <w:trPr>
          <w:cantSplit/>
          <w:trHeight w:val="177"/>
          <w:jc w:val="center"/>
        </w:trPr>
        <w:tc>
          <w:tcPr>
            <w:tcW w:w="164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32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395"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5.1.5引导优抚对象接受政策内容</w:t>
            </w:r>
          </w:p>
        </w:tc>
      </w:tr>
      <w:tr w:rsidR="00630BEA" w:rsidRPr="00680723" w:rsidTr="00921070">
        <w:trPr>
          <w:cantSplit/>
          <w:trHeight w:val="239"/>
          <w:jc w:val="center"/>
        </w:trPr>
        <w:tc>
          <w:tcPr>
            <w:tcW w:w="164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32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395"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5.1.6优抚政策落实</w:t>
            </w:r>
          </w:p>
        </w:tc>
      </w:tr>
      <w:tr w:rsidR="00630BEA" w:rsidRPr="00680723" w:rsidTr="00921070">
        <w:trPr>
          <w:cantSplit/>
          <w:trHeight w:val="301"/>
          <w:jc w:val="center"/>
        </w:trPr>
        <w:tc>
          <w:tcPr>
            <w:tcW w:w="1645"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5.2新退役人员支持与辅导</w:t>
            </w:r>
          </w:p>
        </w:tc>
        <w:tc>
          <w:tcPr>
            <w:tcW w:w="2325"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为新退役人员提供生活适应辅导，使其尽快适应社会生活并为其寻找相关的支持资源</w:t>
            </w:r>
          </w:p>
        </w:tc>
        <w:tc>
          <w:tcPr>
            <w:tcW w:w="4395"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5.2.1新退役人员社会适应辅导</w:t>
            </w:r>
          </w:p>
        </w:tc>
      </w:tr>
      <w:tr w:rsidR="00630BEA" w:rsidRPr="00680723" w:rsidTr="00921070">
        <w:trPr>
          <w:cantSplit/>
          <w:trHeight w:val="349"/>
          <w:jc w:val="center"/>
        </w:trPr>
        <w:tc>
          <w:tcPr>
            <w:tcW w:w="164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32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395"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5.2.2提供社区参与机会</w:t>
            </w:r>
          </w:p>
        </w:tc>
      </w:tr>
      <w:tr w:rsidR="00630BEA" w:rsidRPr="00680723" w:rsidTr="00921070">
        <w:trPr>
          <w:cantSplit/>
          <w:trHeight w:val="255"/>
          <w:jc w:val="center"/>
        </w:trPr>
        <w:tc>
          <w:tcPr>
            <w:tcW w:w="164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32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395"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5.2.3职业生涯规划训练</w:t>
            </w:r>
          </w:p>
        </w:tc>
      </w:tr>
      <w:tr w:rsidR="00630BEA" w:rsidRPr="00680723" w:rsidTr="00921070">
        <w:trPr>
          <w:cantSplit/>
          <w:trHeight w:val="175"/>
          <w:jc w:val="center"/>
        </w:trPr>
        <w:tc>
          <w:tcPr>
            <w:tcW w:w="164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32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395"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5.2.4协助新退役人员寻找就业机会</w:t>
            </w:r>
          </w:p>
        </w:tc>
      </w:tr>
      <w:tr w:rsidR="00630BEA" w:rsidRPr="00680723" w:rsidTr="00921070">
        <w:trPr>
          <w:cantSplit/>
          <w:trHeight w:val="223"/>
          <w:jc w:val="center"/>
        </w:trPr>
        <w:tc>
          <w:tcPr>
            <w:tcW w:w="164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32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395"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5.2.5整合相关资源为退役人员提供支持</w:t>
            </w:r>
          </w:p>
        </w:tc>
      </w:tr>
      <w:tr w:rsidR="00630BEA" w:rsidRPr="00680723" w:rsidTr="00921070">
        <w:trPr>
          <w:cantSplit/>
          <w:trHeight w:val="285"/>
          <w:jc w:val="center"/>
        </w:trPr>
        <w:tc>
          <w:tcPr>
            <w:tcW w:w="1645"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5.3困难人员支持</w:t>
            </w:r>
          </w:p>
        </w:tc>
        <w:tc>
          <w:tcPr>
            <w:tcW w:w="2325"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为有特殊困难的优抚对象提供有效协助</w:t>
            </w:r>
          </w:p>
        </w:tc>
        <w:tc>
          <w:tcPr>
            <w:tcW w:w="4395"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5.3.1残疾军人关爱行动</w:t>
            </w:r>
          </w:p>
        </w:tc>
      </w:tr>
      <w:tr w:rsidR="00630BEA" w:rsidRPr="00680723" w:rsidTr="00921070">
        <w:trPr>
          <w:cantSplit/>
          <w:trHeight w:val="347"/>
          <w:jc w:val="center"/>
        </w:trPr>
        <w:tc>
          <w:tcPr>
            <w:tcW w:w="164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32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395"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5.3.2为经济困难优抚对象寻找经济支持</w:t>
            </w:r>
          </w:p>
        </w:tc>
      </w:tr>
      <w:tr w:rsidR="00630BEA" w:rsidRPr="00680723" w:rsidTr="00921070">
        <w:trPr>
          <w:cantSplit/>
          <w:trHeight w:val="253"/>
          <w:jc w:val="center"/>
        </w:trPr>
        <w:tc>
          <w:tcPr>
            <w:tcW w:w="164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32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395"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5.3.3建立优抚对象社会支持网络</w:t>
            </w:r>
          </w:p>
        </w:tc>
      </w:tr>
      <w:tr w:rsidR="00630BEA" w:rsidRPr="00680723" w:rsidTr="00921070">
        <w:trPr>
          <w:trHeight w:val="456"/>
          <w:jc w:val="center"/>
        </w:trPr>
        <w:tc>
          <w:tcPr>
            <w:tcW w:w="1645" w:type="dxa"/>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5.4老军人关爱</w:t>
            </w:r>
          </w:p>
        </w:tc>
        <w:tc>
          <w:tcPr>
            <w:tcW w:w="2325" w:type="dxa"/>
            <w:tcBorders>
              <w:top w:val="nil"/>
              <w:left w:val="nil"/>
              <w:bottom w:val="single" w:sz="4" w:space="0" w:color="auto"/>
              <w:right w:val="single" w:sz="4" w:space="0" w:color="auto"/>
            </w:tcBorders>
            <w:vAlign w:val="center"/>
          </w:tcPr>
          <w:p w:rsidR="00630BEA" w:rsidRPr="00680723" w:rsidRDefault="00630BEA" w:rsidP="00921070">
            <w:pPr>
              <w:spacing w:line="360" w:lineRule="auto"/>
              <w:rPr>
                <w:rFonts w:ascii="仿宋_GB2312" w:eastAsia="仿宋_GB2312" w:hAnsi="Calibri" w:cs="宋体"/>
                <w:kern w:val="0"/>
                <w:sz w:val="24"/>
                <w:szCs w:val="24"/>
              </w:rPr>
            </w:pPr>
            <w:proofErr w:type="gramStart"/>
            <w:r w:rsidRPr="00680723">
              <w:rPr>
                <w:rFonts w:ascii="仿宋_GB2312" w:eastAsia="仿宋_GB2312" w:hAnsi="Times New Roman" w:cs="宋体" w:hint="eastAsia"/>
                <w:kern w:val="0"/>
                <w:sz w:val="24"/>
                <w:szCs w:val="24"/>
              </w:rPr>
              <w:t>关爱老</w:t>
            </w:r>
            <w:proofErr w:type="gramEnd"/>
            <w:r w:rsidRPr="00680723">
              <w:rPr>
                <w:rFonts w:ascii="仿宋_GB2312" w:eastAsia="仿宋_GB2312" w:hAnsi="Times New Roman" w:cs="宋体" w:hint="eastAsia"/>
                <w:kern w:val="0"/>
                <w:sz w:val="24"/>
                <w:szCs w:val="24"/>
              </w:rPr>
              <w:t>军人，促进其晚年幸福</w:t>
            </w:r>
          </w:p>
        </w:tc>
        <w:tc>
          <w:tcPr>
            <w:tcW w:w="4395"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具体可参照表1中社区助老服务的相关工作内容</w:t>
            </w:r>
          </w:p>
        </w:tc>
      </w:tr>
      <w:tr w:rsidR="00630BEA" w:rsidRPr="00680723" w:rsidTr="00921070">
        <w:trPr>
          <w:cantSplit/>
          <w:trHeight w:val="581"/>
          <w:jc w:val="center"/>
        </w:trPr>
        <w:tc>
          <w:tcPr>
            <w:tcW w:w="1645"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5.5对军属、烈属的关爱与支持</w:t>
            </w:r>
          </w:p>
        </w:tc>
        <w:tc>
          <w:tcPr>
            <w:tcW w:w="2325"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关爱军烈属，为其提供物质抚恤与精神慰藉</w:t>
            </w:r>
          </w:p>
        </w:tc>
        <w:tc>
          <w:tcPr>
            <w:tcW w:w="4395"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5.5.1为刚丧失亲人的军烈属提供心理疏导和哀伤辅导</w:t>
            </w:r>
          </w:p>
        </w:tc>
      </w:tr>
      <w:tr w:rsidR="00630BEA" w:rsidRPr="00680723" w:rsidTr="00921070">
        <w:trPr>
          <w:cantSplit/>
          <w:trHeight w:val="279"/>
          <w:jc w:val="center"/>
        </w:trPr>
        <w:tc>
          <w:tcPr>
            <w:tcW w:w="164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32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395"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5.5.2对处于幼年的烈士子女的帮扶</w:t>
            </w:r>
          </w:p>
        </w:tc>
      </w:tr>
      <w:tr w:rsidR="00630BEA" w:rsidRPr="00680723" w:rsidTr="00921070">
        <w:trPr>
          <w:cantSplit/>
          <w:trHeight w:val="625"/>
          <w:jc w:val="center"/>
        </w:trPr>
        <w:tc>
          <w:tcPr>
            <w:tcW w:w="164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32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395"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5.5.3整合社会资源，为经济及生活困难的军属、烈属建立社会支持网络</w:t>
            </w:r>
          </w:p>
        </w:tc>
      </w:tr>
    </w:tbl>
    <w:p w:rsidR="00630BEA" w:rsidRPr="00680723" w:rsidRDefault="00630BEA" w:rsidP="00630BEA">
      <w:pPr>
        <w:snapToGrid w:val="0"/>
        <w:jc w:val="left"/>
        <w:rPr>
          <w:rFonts w:ascii="仿宋_GB2312" w:eastAsia="仿宋_GB2312" w:hAnsi="Times New Roman" w:cs="宋体"/>
          <w:b/>
          <w:bCs/>
          <w:kern w:val="0"/>
          <w:sz w:val="24"/>
          <w:szCs w:val="24"/>
        </w:rPr>
      </w:pPr>
      <w:r w:rsidRPr="00680723">
        <w:rPr>
          <w:rFonts w:ascii="仿宋_GB2312" w:eastAsia="仿宋_GB2312" w:hAnsi="Times New Roman" w:cs="宋体" w:hint="eastAsia"/>
          <w:b/>
          <w:bCs/>
          <w:kern w:val="0"/>
          <w:sz w:val="24"/>
          <w:szCs w:val="24"/>
        </w:rPr>
        <w:br w:type="page"/>
      </w:r>
      <w:r w:rsidRPr="00680723">
        <w:rPr>
          <w:rFonts w:ascii="仿宋_GB2312" w:eastAsia="仿宋_GB2312" w:hAnsi="Times New Roman" w:cs="宋体" w:hint="eastAsia"/>
          <w:b/>
          <w:bCs/>
          <w:kern w:val="0"/>
          <w:sz w:val="24"/>
          <w:szCs w:val="24"/>
        </w:rPr>
        <w:lastRenderedPageBreak/>
        <w:t>表六：</w:t>
      </w:r>
    </w:p>
    <w:p w:rsidR="00630BEA" w:rsidRPr="00680723" w:rsidRDefault="00630BEA" w:rsidP="00630BEA">
      <w:pPr>
        <w:snapToGrid w:val="0"/>
        <w:spacing w:after="100" w:afterAutospacing="1"/>
        <w:jc w:val="center"/>
        <w:rPr>
          <w:rFonts w:ascii="仿宋_GB2312" w:eastAsia="仿宋_GB2312" w:hAnsi="Times New Roman" w:cs="宋体"/>
          <w:b/>
          <w:bCs/>
          <w:kern w:val="0"/>
          <w:sz w:val="24"/>
          <w:szCs w:val="24"/>
        </w:rPr>
      </w:pPr>
      <w:r w:rsidRPr="00680723">
        <w:rPr>
          <w:rFonts w:ascii="仿宋_GB2312" w:eastAsia="仿宋_GB2312" w:hAnsi="Times New Roman" w:cs="宋体" w:hint="eastAsia"/>
          <w:b/>
          <w:bCs/>
          <w:kern w:val="0"/>
          <w:sz w:val="24"/>
          <w:szCs w:val="24"/>
        </w:rPr>
        <w:t>社区党员群众公共服务内容建议表</w:t>
      </w:r>
    </w:p>
    <w:tbl>
      <w:tblPr>
        <w:tblW w:w="8374" w:type="dxa"/>
        <w:tblLayout w:type="fixed"/>
        <w:tblCellMar>
          <w:left w:w="0" w:type="dxa"/>
          <w:right w:w="0" w:type="dxa"/>
        </w:tblCellMar>
        <w:tblLook w:val="0000" w:firstRow="0" w:lastRow="0" w:firstColumn="0" w:lastColumn="0" w:noHBand="0" w:noVBand="0"/>
      </w:tblPr>
      <w:tblGrid>
        <w:gridCol w:w="1570"/>
        <w:gridCol w:w="2835"/>
        <w:gridCol w:w="3969"/>
      </w:tblGrid>
      <w:tr w:rsidR="00630BEA" w:rsidRPr="00680723" w:rsidTr="00921070">
        <w:trPr>
          <w:trHeight w:val="153"/>
        </w:trPr>
        <w:tc>
          <w:tcPr>
            <w:tcW w:w="1570"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400" w:lineRule="exact"/>
              <w:jc w:val="center"/>
              <w:rPr>
                <w:rFonts w:ascii="仿宋_GB2312" w:eastAsia="仿宋_GB2312" w:hAnsi="Calibri" w:cs="宋体"/>
                <w:kern w:val="0"/>
                <w:sz w:val="24"/>
                <w:szCs w:val="24"/>
              </w:rPr>
            </w:pPr>
            <w:r w:rsidRPr="00680723">
              <w:rPr>
                <w:rFonts w:ascii="仿宋_GB2312" w:eastAsia="仿宋_GB2312" w:hAnsi="Times New Roman" w:cs="宋体" w:hint="eastAsia"/>
                <w:b/>
                <w:bCs/>
                <w:kern w:val="0"/>
                <w:sz w:val="24"/>
                <w:szCs w:val="24"/>
              </w:rPr>
              <w:t>服务大项</w:t>
            </w:r>
          </w:p>
        </w:tc>
        <w:tc>
          <w:tcPr>
            <w:tcW w:w="2835" w:type="dxa"/>
            <w:tcBorders>
              <w:top w:val="single" w:sz="4" w:space="0" w:color="auto"/>
              <w:left w:val="nil"/>
              <w:bottom w:val="single" w:sz="4" w:space="0" w:color="auto"/>
              <w:right w:val="single" w:sz="4" w:space="0" w:color="auto"/>
            </w:tcBorders>
            <w:vAlign w:val="center"/>
          </w:tcPr>
          <w:p w:rsidR="00630BEA" w:rsidRPr="00680723" w:rsidRDefault="00630BEA" w:rsidP="00921070">
            <w:pPr>
              <w:spacing w:line="400" w:lineRule="exact"/>
              <w:jc w:val="center"/>
              <w:rPr>
                <w:rFonts w:ascii="仿宋_GB2312" w:eastAsia="仿宋_GB2312" w:hAnsi="Calibri" w:cs="宋体"/>
                <w:kern w:val="0"/>
                <w:sz w:val="24"/>
                <w:szCs w:val="24"/>
              </w:rPr>
            </w:pPr>
            <w:r w:rsidRPr="00680723">
              <w:rPr>
                <w:rFonts w:ascii="仿宋_GB2312" w:eastAsia="仿宋_GB2312" w:hAnsi="Times New Roman" w:cs="宋体" w:hint="eastAsia"/>
                <w:b/>
                <w:bCs/>
                <w:kern w:val="0"/>
                <w:sz w:val="24"/>
                <w:szCs w:val="24"/>
              </w:rPr>
              <w:t>服务目标</w:t>
            </w:r>
          </w:p>
        </w:tc>
        <w:tc>
          <w:tcPr>
            <w:tcW w:w="3969" w:type="dxa"/>
            <w:tcBorders>
              <w:top w:val="single" w:sz="4" w:space="0" w:color="auto"/>
              <w:left w:val="nil"/>
              <w:bottom w:val="single" w:sz="4" w:space="0" w:color="auto"/>
              <w:right w:val="single" w:sz="4" w:space="0" w:color="auto"/>
            </w:tcBorders>
            <w:vAlign w:val="center"/>
          </w:tcPr>
          <w:p w:rsidR="00630BEA" w:rsidRPr="00680723" w:rsidRDefault="00630BEA" w:rsidP="00921070">
            <w:pPr>
              <w:spacing w:line="400" w:lineRule="exact"/>
              <w:jc w:val="center"/>
              <w:rPr>
                <w:rFonts w:ascii="仿宋_GB2312" w:eastAsia="仿宋_GB2312" w:hAnsi="Calibri" w:cs="宋体"/>
                <w:kern w:val="0"/>
                <w:sz w:val="24"/>
                <w:szCs w:val="24"/>
              </w:rPr>
            </w:pPr>
            <w:r w:rsidRPr="00680723">
              <w:rPr>
                <w:rFonts w:ascii="仿宋_GB2312" w:eastAsia="仿宋_GB2312" w:hAnsi="Times New Roman" w:cs="宋体" w:hint="eastAsia"/>
                <w:b/>
                <w:bCs/>
                <w:kern w:val="0"/>
                <w:sz w:val="24"/>
                <w:szCs w:val="24"/>
              </w:rPr>
              <w:t>服务细项</w:t>
            </w:r>
          </w:p>
        </w:tc>
      </w:tr>
      <w:tr w:rsidR="00630BEA" w:rsidRPr="00680723" w:rsidTr="00921070">
        <w:trPr>
          <w:cantSplit/>
          <w:trHeight w:val="357"/>
        </w:trPr>
        <w:tc>
          <w:tcPr>
            <w:tcW w:w="1570"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6.1</w:t>
            </w:r>
          </w:p>
        </w:tc>
        <w:tc>
          <w:tcPr>
            <w:tcW w:w="2835"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tcPr>
          <w:p w:rsidR="00630BEA" w:rsidRPr="00680723" w:rsidRDefault="00630BEA" w:rsidP="00921070">
            <w:pPr>
              <w:spacing w:line="400" w:lineRule="exac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6.1.1</w:t>
            </w:r>
          </w:p>
        </w:tc>
      </w:tr>
      <w:tr w:rsidR="00630BEA" w:rsidRPr="00680723" w:rsidTr="00921070">
        <w:trPr>
          <w:cantSplit/>
          <w:trHeight w:val="339"/>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6.1.2</w:t>
            </w:r>
          </w:p>
        </w:tc>
      </w:tr>
      <w:tr w:rsidR="00630BEA" w:rsidRPr="00680723" w:rsidTr="00921070">
        <w:trPr>
          <w:cantSplit/>
          <w:trHeight w:val="117"/>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6.1.3</w:t>
            </w:r>
          </w:p>
        </w:tc>
      </w:tr>
      <w:tr w:rsidR="00630BEA" w:rsidRPr="00680723" w:rsidTr="00921070">
        <w:trPr>
          <w:cantSplit/>
          <w:trHeight w:val="165"/>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6.1.4</w:t>
            </w:r>
          </w:p>
        </w:tc>
      </w:tr>
      <w:tr w:rsidR="00630BEA" w:rsidRPr="00680723" w:rsidTr="00921070">
        <w:trPr>
          <w:cantSplit/>
          <w:trHeight w:val="56"/>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6.1.5</w:t>
            </w:r>
          </w:p>
        </w:tc>
      </w:tr>
      <w:tr w:rsidR="00630BEA" w:rsidRPr="00680723" w:rsidTr="00921070">
        <w:trPr>
          <w:cantSplit/>
          <w:trHeight w:val="275"/>
        </w:trPr>
        <w:tc>
          <w:tcPr>
            <w:tcW w:w="1570"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6.2</w:t>
            </w:r>
          </w:p>
        </w:tc>
        <w:tc>
          <w:tcPr>
            <w:tcW w:w="2835"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6.2.1</w:t>
            </w:r>
          </w:p>
        </w:tc>
      </w:tr>
      <w:tr w:rsidR="00630BEA" w:rsidRPr="00680723" w:rsidTr="00921070">
        <w:trPr>
          <w:cantSplit/>
          <w:trHeight w:val="195"/>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6.2.2</w:t>
            </w:r>
          </w:p>
        </w:tc>
      </w:tr>
      <w:tr w:rsidR="00630BEA" w:rsidRPr="00680723" w:rsidTr="00921070">
        <w:trPr>
          <w:cantSplit/>
          <w:trHeight w:val="257"/>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6.2.3</w:t>
            </w:r>
          </w:p>
        </w:tc>
      </w:tr>
      <w:tr w:rsidR="00630BEA" w:rsidRPr="00680723" w:rsidTr="00921070">
        <w:trPr>
          <w:cantSplit/>
          <w:trHeight w:val="305"/>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6.2.4</w:t>
            </w:r>
          </w:p>
        </w:tc>
      </w:tr>
      <w:tr w:rsidR="00630BEA" w:rsidRPr="00680723" w:rsidTr="00921070">
        <w:trPr>
          <w:cantSplit/>
          <w:trHeight w:val="225"/>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6.2.5</w:t>
            </w:r>
          </w:p>
        </w:tc>
      </w:tr>
      <w:tr w:rsidR="00630BEA" w:rsidRPr="00680723" w:rsidTr="00921070">
        <w:trPr>
          <w:cantSplit/>
          <w:trHeight w:val="225"/>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6.2.6</w:t>
            </w:r>
          </w:p>
        </w:tc>
      </w:tr>
      <w:tr w:rsidR="00630BEA" w:rsidRPr="00680723" w:rsidTr="00921070">
        <w:trPr>
          <w:cantSplit/>
          <w:trHeight w:val="225"/>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6.2.7</w:t>
            </w:r>
          </w:p>
        </w:tc>
      </w:tr>
      <w:tr w:rsidR="00630BEA" w:rsidRPr="00680723" w:rsidTr="00921070">
        <w:trPr>
          <w:cantSplit/>
          <w:trHeight w:val="145"/>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6.2.8</w:t>
            </w:r>
          </w:p>
        </w:tc>
      </w:tr>
      <w:tr w:rsidR="00630BEA" w:rsidRPr="00680723" w:rsidTr="00921070">
        <w:trPr>
          <w:cantSplit/>
          <w:trHeight w:val="193"/>
        </w:trPr>
        <w:tc>
          <w:tcPr>
            <w:tcW w:w="1570"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6.3</w:t>
            </w:r>
          </w:p>
        </w:tc>
        <w:tc>
          <w:tcPr>
            <w:tcW w:w="2835"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400" w:lineRule="exac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6.3.1</w:t>
            </w:r>
          </w:p>
        </w:tc>
      </w:tr>
      <w:tr w:rsidR="00630BEA" w:rsidRPr="00680723" w:rsidTr="00921070">
        <w:trPr>
          <w:cantSplit/>
          <w:trHeight w:val="255"/>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6.3.2</w:t>
            </w:r>
          </w:p>
        </w:tc>
      </w:tr>
      <w:tr w:rsidR="00630BEA" w:rsidRPr="00680723" w:rsidTr="00921070">
        <w:trPr>
          <w:cantSplit/>
          <w:trHeight w:val="303"/>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6.3.3</w:t>
            </w:r>
          </w:p>
        </w:tc>
      </w:tr>
      <w:tr w:rsidR="00630BEA" w:rsidRPr="00680723" w:rsidTr="00921070">
        <w:trPr>
          <w:cantSplit/>
          <w:trHeight w:val="223"/>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6.3.4</w:t>
            </w:r>
          </w:p>
        </w:tc>
      </w:tr>
      <w:tr w:rsidR="00630BEA" w:rsidRPr="00680723" w:rsidTr="00921070">
        <w:trPr>
          <w:cantSplit/>
          <w:trHeight w:val="132"/>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6.3.5</w:t>
            </w:r>
          </w:p>
        </w:tc>
      </w:tr>
      <w:tr w:rsidR="00630BEA" w:rsidRPr="00680723" w:rsidTr="00921070">
        <w:trPr>
          <w:cantSplit/>
          <w:trHeight w:val="194"/>
        </w:trPr>
        <w:tc>
          <w:tcPr>
            <w:tcW w:w="1570"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969" w:type="dxa"/>
            <w:tcBorders>
              <w:top w:val="nil"/>
              <w:left w:val="nil"/>
              <w:bottom w:val="single" w:sz="4" w:space="0" w:color="auto"/>
              <w:right w:val="single" w:sz="4" w:space="0" w:color="auto"/>
            </w:tcBorders>
            <w:vAlign w:val="center"/>
          </w:tcPr>
          <w:p w:rsidR="00630BEA" w:rsidRPr="00680723" w:rsidRDefault="00630BEA" w:rsidP="00921070">
            <w:pPr>
              <w:spacing w:line="400" w:lineRule="exact"/>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6.3.6</w:t>
            </w:r>
          </w:p>
        </w:tc>
      </w:tr>
    </w:tbl>
    <w:p w:rsidR="00630BEA" w:rsidRPr="00680723" w:rsidRDefault="00630BEA" w:rsidP="00630BEA">
      <w:pPr>
        <w:snapToGrid w:val="0"/>
        <w:jc w:val="left"/>
        <w:rPr>
          <w:rFonts w:ascii="仿宋_GB2312" w:eastAsia="仿宋_GB2312" w:hAnsi="Times New Roman" w:cs="宋体"/>
          <w:b/>
          <w:bCs/>
          <w:kern w:val="0"/>
          <w:sz w:val="24"/>
          <w:szCs w:val="24"/>
        </w:rPr>
      </w:pPr>
      <w:r w:rsidRPr="00680723">
        <w:rPr>
          <w:rFonts w:ascii="仿宋_GB2312" w:eastAsia="仿宋_GB2312" w:hAnsi="Times New Roman" w:cs="宋体" w:hint="eastAsia"/>
          <w:b/>
          <w:bCs/>
          <w:kern w:val="0"/>
          <w:sz w:val="24"/>
          <w:szCs w:val="24"/>
        </w:rPr>
        <w:br w:type="page"/>
      </w:r>
      <w:r w:rsidRPr="00680723">
        <w:rPr>
          <w:rFonts w:ascii="仿宋_GB2312" w:eastAsia="仿宋_GB2312" w:hAnsi="Times New Roman" w:cs="宋体" w:hint="eastAsia"/>
          <w:b/>
          <w:bCs/>
          <w:kern w:val="0"/>
          <w:sz w:val="24"/>
          <w:szCs w:val="24"/>
        </w:rPr>
        <w:lastRenderedPageBreak/>
        <w:t>表七：</w:t>
      </w:r>
    </w:p>
    <w:p w:rsidR="00630BEA" w:rsidRPr="00680723" w:rsidRDefault="00630BEA" w:rsidP="00630BEA">
      <w:pPr>
        <w:snapToGrid w:val="0"/>
        <w:spacing w:after="100" w:afterAutospacing="1"/>
        <w:jc w:val="center"/>
        <w:rPr>
          <w:rFonts w:ascii="仿宋_GB2312" w:eastAsia="仿宋_GB2312" w:hAnsi="Times New Roman" w:cs="宋体"/>
          <w:b/>
          <w:bCs/>
          <w:kern w:val="0"/>
          <w:sz w:val="24"/>
          <w:szCs w:val="24"/>
        </w:rPr>
      </w:pPr>
      <w:r w:rsidRPr="00680723">
        <w:rPr>
          <w:rFonts w:ascii="仿宋_GB2312" w:eastAsia="仿宋_GB2312" w:hAnsi="Times New Roman" w:cs="宋体" w:hint="eastAsia"/>
          <w:b/>
          <w:bCs/>
          <w:kern w:val="0"/>
          <w:sz w:val="24"/>
          <w:szCs w:val="24"/>
        </w:rPr>
        <w:t>社区特定人群公共服务内容建议表</w:t>
      </w:r>
    </w:p>
    <w:tbl>
      <w:tblPr>
        <w:tblW w:w="0" w:type="auto"/>
        <w:jc w:val="center"/>
        <w:tblLayout w:type="fixed"/>
        <w:tblCellMar>
          <w:left w:w="0" w:type="dxa"/>
          <w:right w:w="0" w:type="dxa"/>
        </w:tblCellMar>
        <w:tblLook w:val="0000" w:firstRow="0" w:lastRow="0" w:firstColumn="0" w:lastColumn="0" w:noHBand="0" w:noVBand="0"/>
      </w:tblPr>
      <w:tblGrid>
        <w:gridCol w:w="1166"/>
        <w:gridCol w:w="1276"/>
        <w:gridCol w:w="2551"/>
        <w:gridCol w:w="3092"/>
      </w:tblGrid>
      <w:tr w:rsidR="00630BEA" w:rsidRPr="00680723" w:rsidTr="00921070">
        <w:trPr>
          <w:trHeight w:val="86"/>
          <w:jc w:val="center"/>
        </w:trPr>
        <w:tc>
          <w:tcPr>
            <w:tcW w:w="116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b/>
                <w:bCs/>
                <w:kern w:val="0"/>
                <w:sz w:val="24"/>
                <w:szCs w:val="24"/>
              </w:rPr>
              <w:t>服务对象</w:t>
            </w:r>
          </w:p>
        </w:tc>
        <w:tc>
          <w:tcPr>
            <w:tcW w:w="1276" w:type="dxa"/>
            <w:tcBorders>
              <w:top w:val="single" w:sz="4" w:space="0" w:color="auto"/>
              <w:left w:val="nil"/>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b/>
                <w:bCs/>
                <w:kern w:val="0"/>
                <w:sz w:val="24"/>
                <w:szCs w:val="24"/>
              </w:rPr>
              <w:t>服务大项</w:t>
            </w:r>
          </w:p>
        </w:tc>
        <w:tc>
          <w:tcPr>
            <w:tcW w:w="2551" w:type="dxa"/>
            <w:tcBorders>
              <w:top w:val="single" w:sz="4" w:space="0" w:color="auto"/>
              <w:left w:val="nil"/>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b/>
                <w:bCs/>
                <w:kern w:val="0"/>
                <w:sz w:val="24"/>
                <w:szCs w:val="24"/>
              </w:rPr>
              <w:t>服务目标</w:t>
            </w:r>
          </w:p>
        </w:tc>
        <w:tc>
          <w:tcPr>
            <w:tcW w:w="3092" w:type="dxa"/>
            <w:tcBorders>
              <w:top w:val="single" w:sz="4" w:space="0" w:color="auto"/>
              <w:left w:val="nil"/>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b/>
                <w:bCs/>
                <w:kern w:val="0"/>
                <w:sz w:val="24"/>
                <w:szCs w:val="24"/>
              </w:rPr>
              <w:t>服务细项</w:t>
            </w:r>
          </w:p>
        </w:tc>
      </w:tr>
      <w:tr w:rsidR="00630BEA" w:rsidRPr="00680723" w:rsidTr="00921070">
        <w:trPr>
          <w:cantSplit/>
          <w:trHeight w:val="290"/>
          <w:jc w:val="center"/>
        </w:trPr>
        <w:tc>
          <w:tcPr>
            <w:tcW w:w="1166"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药物滥用者、社区矫正人员</w:t>
            </w:r>
          </w:p>
        </w:tc>
        <w:tc>
          <w:tcPr>
            <w:tcW w:w="1276"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7.1社会适应</w:t>
            </w:r>
          </w:p>
        </w:tc>
        <w:tc>
          <w:tcPr>
            <w:tcW w:w="2551"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促进药物滥用者、社区矫正人员回归正常的社会生活轨道，减少与社会生活的冲突</w:t>
            </w:r>
          </w:p>
        </w:tc>
        <w:tc>
          <w:tcPr>
            <w:tcW w:w="3092"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7.1.1情绪与压力管理</w:t>
            </w:r>
          </w:p>
        </w:tc>
      </w:tr>
      <w:tr w:rsidR="00630BEA" w:rsidRPr="00680723" w:rsidTr="00921070">
        <w:trPr>
          <w:cantSplit/>
          <w:trHeight w:val="210"/>
          <w:jc w:val="center"/>
        </w:trPr>
        <w:tc>
          <w:tcPr>
            <w:tcW w:w="116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551"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092"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7.1.2心理咨询与危机介入</w:t>
            </w:r>
          </w:p>
        </w:tc>
      </w:tr>
      <w:tr w:rsidR="00630BEA" w:rsidRPr="00680723" w:rsidTr="00921070">
        <w:trPr>
          <w:cantSplit/>
          <w:trHeight w:val="257"/>
          <w:jc w:val="center"/>
        </w:trPr>
        <w:tc>
          <w:tcPr>
            <w:tcW w:w="116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551"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092"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7.1.3社会功能恢复与发展</w:t>
            </w:r>
          </w:p>
        </w:tc>
      </w:tr>
      <w:tr w:rsidR="00630BEA" w:rsidRPr="00680723" w:rsidTr="00921070">
        <w:trPr>
          <w:cantSplit/>
          <w:trHeight w:val="319"/>
          <w:jc w:val="center"/>
        </w:trPr>
        <w:tc>
          <w:tcPr>
            <w:tcW w:w="116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551"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092"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7.1.4家庭关系调适与治疗</w:t>
            </w:r>
          </w:p>
        </w:tc>
      </w:tr>
      <w:tr w:rsidR="00630BEA" w:rsidRPr="00680723" w:rsidTr="00921070">
        <w:trPr>
          <w:cantSplit/>
          <w:trHeight w:val="381"/>
          <w:jc w:val="center"/>
        </w:trPr>
        <w:tc>
          <w:tcPr>
            <w:tcW w:w="116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551"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092"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7.1.5人际及社交能力培养</w:t>
            </w:r>
          </w:p>
        </w:tc>
      </w:tr>
      <w:tr w:rsidR="00630BEA" w:rsidRPr="00680723" w:rsidTr="00921070">
        <w:trPr>
          <w:cantSplit/>
          <w:trHeight w:val="273"/>
          <w:jc w:val="center"/>
        </w:trPr>
        <w:tc>
          <w:tcPr>
            <w:tcW w:w="116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551"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092"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7.1.6就业培训与职业辅导</w:t>
            </w:r>
          </w:p>
        </w:tc>
      </w:tr>
      <w:tr w:rsidR="00630BEA" w:rsidRPr="00680723" w:rsidTr="00921070">
        <w:trPr>
          <w:cantSplit/>
          <w:trHeight w:val="321"/>
          <w:jc w:val="center"/>
        </w:trPr>
        <w:tc>
          <w:tcPr>
            <w:tcW w:w="116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1276"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7.2资源网络建立</w:t>
            </w:r>
          </w:p>
        </w:tc>
        <w:tc>
          <w:tcPr>
            <w:tcW w:w="2551"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整合资源，推动良好政策环境，促进社会关注药物滥用者及社区矫正人员</w:t>
            </w:r>
          </w:p>
        </w:tc>
        <w:tc>
          <w:tcPr>
            <w:tcW w:w="3092"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7.2.1倡导良好的政策环境</w:t>
            </w:r>
          </w:p>
        </w:tc>
      </w:tr>
      <w:tr w:rsidR="00630BEA" w:rsidRPr="00680723" w:rsidTr="00921070">
        <w:trPr>
          <w:cantSplit/>
          <w:trHeight w:val="242"/>
          <w:jc w:val="center"/>
        </w:trPr>
        <w:tc>
          <w:tcPr>
            <w:tcW w:w="116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551"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092"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7.2.2提供相关政策咨询</w:t>
            </w:r>
          </w:p>
        </w:tc>
      </w:tr>
      <w:tr w:rsidR="00630BEA" w:rsidRPr="00680723" w:rsidTr="00921070">
        <w:trPr>
          <w:cantSplit/>
          <w:trHeight w:val="289"/>
          <w:jc w:val="center"/>
        </w:trPr>
        <w:tc>
          <w:tcPr>
            <w:tcW w:w="116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551"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092"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7.2.3志愿者帮教服务</w:t>
            </w:r>
          </w:p>
        </w:tc>
      </w:tr>
      <w:tr w:rsidR="00630BEA" w:rsidRPr="00680723" w:rsidTr="00921070">
        <w:trPr>
          <w:cantSplit/>
          <w:trHeight w:val="209"/>
          <w:jc w:val="center"/>
        </w:trPr>
        <w:tc>
          <w:tcPr>
            <w:tcW w:w="116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551"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092"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7.2.4社区关爱</w:t>
            </w:r>
          </w:p>
        </w:tc>
      </w:tr>
      <w:tr w:rsidR="00630BEA" w:rsidRPr="00680723" w:rsidTr="00921070">
        <w:trPr>
          <w:cantSplit/>
          <w:trHeight w:val="271"/>
          <w:jc w:val="center"/>
        </w:trPr>
        <w:tc>
          <w:tcPr>
            <w:tcW w:w="116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551"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092"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7.2.5法律援助</w:t>
            </w:r>
          </w:p>
        </w:tc>
      </w:tr>
      <w:tr w:rsidR="00630BEA" w:rsidRPr="00680723" w:rsidTr="00921070">
        <w:trPr>
          <w:cantSplit/>
          <w:trHeight w:val="159"/>
          <w:jc w:val="center"/>
        </w:trPr>
        <w:tc>
          <w:tcPr>
            <w:tcW w:w="1166"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特困人员</w:t>
            </w:r>
          </w:p>
        </w:tc>
        <w:tc>
          <w:tcPr>
            <w:tcW w:w="1276"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7.3社会救助服务</w:t>
            </w:r>
          </w:p>
        </w:tc>
        <w:tc>
          <w:tcPr>
            <w:tcW w:w="2551"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为特困人员提供必要的救助服务，协助其度过生活困境</w:t>
            </w:r>
          </w:p>
        </w:tc>
        <w:tc>
          <w:tcPr>
            <w:tcW w:w="3092"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7.3.1社会救助政策讲解</w:t>
            </w:r>
          </w:p>
        </w:tc>
      </w:tr>
      <w:tr w:rsidR="00630BEA" w:rsidRPr="00680723" w:rsidTr="00921070">
        <w:trPr>
          <w:cantSplit/>
          <w:trHeight w:val="221"/>
          <w:jc w:val="center"/>
        </w:trPr>
        <w:tc>
          <w:tcPr>
            <w:tcW w:w="116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551"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092"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7.3.2经济援助及整合资源</w:t>
            </w:r>
          </w:p>
        </w:tc>
      </w:tr>
      <w:tr w:rsidR="00630BEA" w:rsidRPr="00680723" w:rsidTr="00921070">
        <w:trPr>
          <w:cantSplit/>
          <w:trHeight w:val="283"/>
          <w:jc w:val="center"/>
        </w:trPr>
        <w:tc>
          <w:tcPr>
            <w:tcW w:w="116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551"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092"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7.3.3心理援助与危机介入</w:t>
            </w:r>
          </w:p>
        </w:tc>
      </w:tr>
      <w:tr w:rsidR="00630BEA" w:rsidRPr="00680723" w:rsidTr="00921070">
        <w:trPr>
          <w:cantSplit/>
          <w:trHeight w:val="331"/>
          <w:jc w:val="center"/>
        </w:trPr>
        <w:tc>
          <w:tcPr>
            <w:tcW w:w="116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1276"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7.4增能服务</w:t>
            </w:r>
          </w:p>
        </w:tc>
        <w:tc>
          <w:tcPr>
            <w:tcW w:w="2551"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提升特困人员的核心能力，协助特困人员自谋生</w:t>
            </w:r>
            <w:proofErr w:type="gramStart"/>
            <w:r w:rsidRPr="00680723">
              <w:rPr>
                <w:rFonts w:ascii="仿宋_GB2312" w:eastAsia="仿宋_GB2312" w:hAnsi="Times New Roman" w:cs="宋体" w:hint="eastAsia"/>
                <w:kern w:val="0"/>
                <w:sz w:val="24"/>
                <w:szCs w:val="24"/>
              </w:rPr>
              <w:t>存发展</w:t>
            </w:r>
            <w:proofErr w:type="gramEnd"/>
          </w:p>
        </w:tc>
        <w:tc>
          <w:tcPr>
            <w:tcW w:w="3092"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7.4.1自信心培养</w:t>
            </w:r>
          </w:p>
        </w:tc>
      </w:tr>
      <w:tr w:rsidR="00630BEA" w:rsidRPr="00680723" w:rsidTr="00921070">
        <w:trPr>
          <w:cantSplit/>
          <w:trHeight w:val="251"/>
          <w:jc w:val="center"/>
        </w:trPr>
        <w:tc>
          <w:tcPr>
            <w:tcW w:w="116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551"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092"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7.4.2压力缓解</w:t>
            </w:r>
          </w:p>
        </w:tc>
      </w:tr>
      <w:tr w:rsidR="00630BEA" w:rsidRPr="00680723" w:rsidTr="00921070">
        <w:trPr>
          <w:cantSplit/>
          <w:trHeight w:val="299"/>
          <w:jc w:val="center"/>
        </w:trPr>
        <w:tc>
          <w:tcPr>
            <w:tcW w:w="116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551"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092"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7.4.3就业技能培训与辅导</w:t>
            </w:r>
          </w:p>
        </w:tc>
      </w:tr>
      <w:tr w:rsidR="00630BEA" w:rsidRPr="00680723" w:rsidTr="00921070">
        <w:trPr>
          <w:cantSplit/>
          <w:trHeight w:val="219"/>
          <w:jc w:val="center"/>
        </w:trPr>
        <w:tc>
          <w:tcPr>
            <w:tcW w:w="116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551"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092"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7.4.4情绪与认知辅导</w:t>
            </w:r>
          </w:p>
        </w:tc>
      </w:tr>
      <w:tr w:rsidR="00630BEA" w:rsidRPr="00680723" w:rsidTr="00921070">
        <w:trPr>
          <w:cantSplit/>
          <w:trHeight w:val="281"/>
          <w:jc w:val="center"/>
        </w:trPr>
        <w:tc>
          <w:tcPr>
            <w:tcW w:w="116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1276"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7.5社区援助服务</w:t>
            </w:r>
          </w:p>
        </w:tc>
        <w:tc>
          <w:tcPr>
            <w:tcW w:w="2551"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整合社区资源，提供物质、经济等援助，在制度性救助之外，发挥社区救助主体作用，提升贫困群体的生活水平</w:t>
            </w:r>
          </w:p>
        </w:tc>
        <w:tc>
          <w:tcPr>
            <w:tcW w:w="3092"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7.5.1社区捐助</w:t>
            </w:r>
          </w:p>
        </w:tc>
      </w:tr>
      <w:tr w:rsidR="00630BEA" w:rsidRPr="00680723" w:rsidTr="00921070">
        <w:trPr>
          <w:cantSplit/>
          <w:trHeight w:val="187"/>
          <w:jc w:val="center"/>
        </w:trPr>
        <w:tc>
          <w:tcPr>
            <w:tcW w:w="116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551"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092"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7.5.2结对帮扶</w:t>
            </w:r>
          </w:p>
        </w:tc>
      </w:tr>
      <w:tr w:rsidR="00630BEA" w:rsidRPr="00680723" w:rsidTr="00921070">
        <w:trPr>
          <w:cantSplit/>
          <w:trHeight w:val="249"/>
          <w:jc w:val="center"/>
        </w:trPr>
        <w:tc>
          <w:tcPr>
            <w:tcW w:w="116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551"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092"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7.5.3邻里关爱</w:t>
            </w:r>
          </w:p>
        </w:tc>
      </w:tr>
      <w:tr w:rsidR="00630BEA" w:rsidRPr="00680723" w:rsidTr="00921070">
        <w:trPr>
          <w:cantSplit/>
          <w:trHeight w:val="311"/>
          <w:jc w:val="center"/>
        </w:trPr>
        <w:tc>
          <w:tcPr>
            <w:tcW w:w="116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551"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092"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7.5.4紧急支援</w:t>
            </w:r>
          </w:p>
        </w:tc>
      </w:tr>
    </w:tbl>
    <w:p w:rsidR="00630BEA" w:rsidRPr="00680723" w:rsidRDefault="00630BEA" w:rsidP="00630BEA">
      <w:pPr>
        <w:snapToGrid w:val="0"/>
        <w:jc w:val="left"/>
        <w:rPr>
          <w:rFonts w:ascii="仿宋_GB2312" w:eastAsia="仿宋_GB2312" w:hAnsi="Times New Roman" w:cs="宋体"/>
          <w:b/>
          <w:bCs/>
          <w:kern w:val="0"/>
          <w:sz w:val="24"/>
          <w:szCs w:val="24"/>
        </w:rPr>
      </w:pPr>
      <w:r w:rsidRPr="00680723">
        <w:rPr>
          <w:rFonts w:ascii="仿宋_GB2312" w:eastAsia="仿宋_GB2312" w:hAnsi="Times New Roman" w:cs="宋体" w:hint="eastAsia"/>
          <w:b/>
          <w:bCs/>
          <w:kern w:val="0"/>
          <w:sz w:val="24"/>
          <w:szCs w:val="24"/>
        </w:rPr>
        <w:br w:type="page"/>
      </w:r>
      <w:r w:rsidRPr="00680723">
        <w:rPr>
          <w:rFonts w:ascii="仿宋_GB2312" w:eastAsia="仿宋_GB2312" w:hAnsi="Times New Roman" w:cs="宋体" w:hint="eastAsia"/>
          <w:b/>
          <w:bCs/>
          <w:kern w:val="0"/>
          <w:sz w:val="24"/>
          <w:szCs w:val="24"/>
        </w:rPr>
        <w:lastRenderedPageBreak/>
        <w:t>表八：</w:t>
      </w:r>
    </w:p>
    <w:p w:rsidR="00630BEA" w:rsidRPr="00680723" w:rsidRDefault="00630BEA" w:rsidP="00630BEA">
      <w:pPr>
        <w:snapToGrid w:val="0"/>
        <w:spacing w:after="100" w:afterAutospacing="1"/>
        <w:jc w:val="center"/>
        <w:rPr>
          <w:rFonts w:ascii="仿宋_GB2312" w:eastAsia="仿宋_GB2312" w:hAnsi="Times New Roman" w:cs="宋体"/>
          <w:b/>
          <w:bCs/>
          <w:kern w:val="0"/>
          <w:sz w:val="24"/>
          <w:szCs w:val="24"/>
        </w:rPr>
      </w:pPr>
      <w:r w:rsidRPr="00680723">
        <w:rPr>
          <w:rFonts w:ascii="仿宋_GB2312" w:eastAsia="仿宋_GB2312" w:hAnsi="Times New Roman" w:cs="宋体" w:hint="eastAsia"/>
          <w:b/>
          <w:bCs/>
          <w:kern w:val="0"/>
          <w:sz w:val="24"/>
          <w:szCs w:val="24"/>
        </w:rPr>
        <w:t>居民自助互助服务内容建议表</w:t>
      </w:r>
    </w:p>
    <w:tbl>
      <w:tblPr>
        <w:tblW w:w="0" w:type="auto"/>
        <w:jc w:val="center"/>
        <w:tblLayout w:type="fixed"/>
        <w:tblCellMar>
          <w:left w:w="0" w:type="dxa"/>
          <w:right w:w="0" w:type="dxa"/>
        </w:tblCellMar>
        <w:tblLook w:val="0000" w:firstRow="0" w:lastRow="0" w:firstColumn="0" w:lastColumn="0" w:noHBand="0" w:noVBand="0"/>
      </w:tblPr>
      <w:tblGrid>
        <w:gridCol w:w="1595"/>
        <w:gridCol w:w="2634"/>
        <w:gridCol w:w="4029"/>
      </w:tblGrid>
      <w:tr w:rsidR="00630BEA" w:rsidRPr="00680723" w:rsidTr="00921070">
        <w:trPr>
          <w:trHeight w:val="253"/>
          <w:jc w:val="center"/>
        </w:trPr>
        <w:tc>
          <w:tcPr>
            <w:tcW w:w="1595"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b/>
                <w:bCs/>
                <w:kern w:val="0"/>
                <w:sz w:val="24"/>
                <w:szCs w:val="24"/>
              </w:rPr>
            </w:pPr>
            <w:r w:rsidRPr="00680723">
              <w:rPr>
                <w:rFonts w:ascii="仿宋_GB2312" w:eastAsia="仿宋_GB2312" w:hAnsi="Times New Roman" w:cs="宋体" w:hint="eastAsia"/>
                <w:b/>
                <w:bCs/>
                <w:kern w:val="0"/>
                <w:sz w:val="24"/>
                <w:szCs w:val="24"/>
              </w:rPr>
              <w:t>服务大项</w:t>
            </w:r>
          </w:p>
        </w:tc>
        <w:tc>
          <w:tcPr>
            <w:tcW w:w="2634" w:type="dxa"/>
            <w:tcBorders>
              <w:top w:val="single" w:sz="4" w:space="0" w:color="auto"/>
              <w:left w:val="nil"/>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b/>
                <w:bCs/>
                <w:kern w:val="0"/>
                <w:sz w:val="24"/>
                <w:szCs w:val="24"/>
              </w:rPr>
            </w:pPr>
            <w:r w:rsidRPr="00680723">
              <w:rPr>
                <w:rFonts w:ascii="仿宋_GB2312" w:eastAsia="仿宋_GB2312" w:hAnsi="Times New Roman" w:cs="宋体" w:hint="eastAsia"/>
                <w:b/>
                <w:bCs/>
                <w:kern w:val="0"/>
                <w:sz w:val="24"/>
                <w:szCs w:val="24"/>
              </w:rPr>
              <w:t>服务目标</w:t>
            </w:r>
          </w:p>
        </w:tc>
        <w:tc>
          <w:tcPr>
            <w:tcW w:w="4029" w:type="dxa"/>
            <w:tcBorders>
              <w:top w:val="single" w:sz="4" w:space="0" w:color="auto"/>
              <w:left w:val="nil"/>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b/>
                <w:bCs/>
                <w:kern w:val="0"/>
                <w:sz w:val="24"/>
                <w:szCs w:val="24"/>
              </w:rPr>
            </w:pPr>
            <w:r w:rsidRPr="00680723">
              <w:rPr>
                <w:rFonts w:ascii="仿宋_GB2312" w:eastAsia="仿宋_GB2312" w:hAnsi="Times New Roman" w:cs="宋体" w:hint="eastAsia"/>
                <w:b/>
                <w:bCs/>
                <w:kern w:val="0"/>
                <w:sz w:val="24"/>
                <w:szCs w:val="24"/>
              </w:rPr>
              <w:t>服务细项</w:t>
            </w:r>
          </w:p>
        </w:tc>
      </w:tr>
      <w:tr w:rsidR="00630BEA" w:rsidRPr="00680723" w:rsidTr="00921070">
        <w:trPr>
          <w:cantSplit/>
          <w:trHeight w:val="416"/>
          <w:jc w:val="center"/>
        </w:trPr>
        <w:tc>
          <w:tcPr>
            <w:tcW w:w="1595"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8.1邻里互助与社区融合</w:t>
            </w:r>
          </w:p>
        </w:tc>
        <w:tc>
          <w:tcPr>
            <w:tcW w:w="2634"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培养社区居民的互助意识，形成守望相助的社区氛围，弘扬、倡导社区慈善文化，促进全体居民，特别是来深建设者及其家庭成员对社区和城市的融合与适应，促进和谐社区</w:t>
            </w:r>
          </w:p>
        </w:tc>
        <w:tc>
          <w:tcPr>
            <w:tcW w:w="4029"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8.1.1邻里关系协调</w:t>
            </w:r>
          </w:p>
        </w:tc>
      </w:tr>
      <w:tr w:rsidR="00630BEA" w:rsidRPr="00680723" w:rsidTr="00921070">
        <w:trPr>
          <w:cantSplit/>
          <w:trHeight w:val="416"/>
          <w:jc w:val="center"/>
        </w:trPr>
        <w:tc>
          <w:tcPr>
            <w:tcW w:w="159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634"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029"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8.1.2居民自助团体及互助网络建设</w:t>
            </w:r>
          </w:p>
        </w:tc>
      </w:tr>
      <w:tr w:rsidR="00630BEA" w:rsidRPr="00680723" w:rsidTr="00921070">
        <w:trPr>
          <w:cantSplit/>
          <w:trHeight w:val="416"/>
          <w:jc w:val="center"/>
        </w:trPr>
        <w:tc>
          <w:tcPr>
            <w:tcW w:w="159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634"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029" w:type="dxa"/>
            <w:tcBorders>
              <w:top w:val="nil"/>
              <w:left w:val="nil"/>
              <w:bottom w:val="single" w:sz="4" w:space="0" w:color="auto"/>
              <w:right w:val="single" w:sz="4" w:space="0" w:color="auto"/>
            </w:tcBorders>
          </w:tcPr>
          <w:p w:rsidR="00630BEA" w:rsidRPr="00680723" w:rsidRDefault="00630BEA" w:rsidP="00921070">
            <w:pPr>
              <w:spacing w:line="360" w:lineRule="auto"/>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8.1.3举办各类社区文体活动，如社区运动会、社区剧场等</w:t>
            </w:r>
          </w:p>
        </w:tc>
      </w:tr>
      <w:tr w:rsidR="00630BEA" w:rsidRPr="00680723" w:rsidTr="00921070">
        <w:trPr>
          <w:cantSplit/>
          <w:trHeight w:val="416"/>
          <w:jc w:val="center"/>
        </w:trPr>
        <w:tc>
          <w:tcPr>
            <w:tcW w:w="159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634"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029"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8.1.4开发居民休闲娱乐场所</w:t>
            </w:r>
          </w:p>
        </w:tc>
      </w:tr>
      <w:tr w:rsidR="00630BEA" w:rsidRPr="00680723" w:rsidTr="00921070">
        <w:trPr>
          <w:cantSplit/>
          <w:trHeight w:val="416"/>
          <w:jc w:val="center"/>
        </w:trPr>
        <w:tc>
          <w:tcPr>
            <w:tcW w:w="159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634"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029"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8.1.5居民代际互动和融合</w:t>
            </w:r>
          </w:p>
        </w:tc>
      </w:tr>
      <w:tr w:rsidR="00630BEA" w:rsidRPr="00680723" w:rsidTr="00921070">
        <w:trPr>
          <w:cantSplit/>
          <w:trHeight w:val="416"/>
          <w:jc w:val="center"/>
        </w:trPr>
        <w:tc>
          <w:tcPr>
            <w:tcW w:w="159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634"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029"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8.1.6慈善超市、慈善捐赠</w:t>
            </w:r>
          </w:p>
        </w:tc>
      </w:tr>
      <w:tr w:rsidR="00630BEA" w:rsidRPr="00680723" w:rsidTr="00921070">
        <w:trPr>
          <w:cantSplit/>
          <w:trHeight w:val="416"/>
          <w:jc w:val="center"/>
        </w:trPr>
        <w:tc>
          <w:tcPr>
            <w:tcW w:w="159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634"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029"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8.1.7来深人士城市生活适应</w:t>
            </w:r>
          </w:p>
        </w:tc>
      </w:tr>
      <w:tr w:rsidR="00630BEA" w:rsidRPr="00680723" w:rsidTr="00921070">
        <w:trPr>
          <w:cantSplit/>
          <w:trHeight w:val="221"/>
          <w:jc w:val="center"/>
        </w:trPr>
        <w:tc>
          <w:tcPr>
            <w:tcW w:w="159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634"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029"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8.1.8关爱来深建设者子女</w:t>
            </w:r>
          </w:p>
        </w:tc>
      </w:tr>
      <w:tr w:rsidR="00630BEA" w:rsidRPr="00680723" w:rsidTr="00921070">
        <w:trPr>
          <w:cantSplit/>
          <w:trHeight w:val="315"/>
          <w:jc w:val="center"/>
        </w:trPr>
        <w:tc>
          <w:tcPr>
            <w:tcW w:w="1595"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8.2志愿者队伍建设</w:t>
            </w:r>
          </w:p>
        </w:tc>
        <w:tc>
          <w:tcPr>
            <w:tcW w:w="2634"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建立社区义工队伍，鼓励居民积极参与志愿服务</w:t>
            </w:r>
          </w:p>
        </w:tc>
        <w:tc>
          <w:tcPr>
            <w:tcW w:w="4029"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8.2.1义工招募</w:t>
            </w:r>
          </w:p>
        </w:tc>
      </w:tr>
      <w:tr w:rsidR="00630BEA" w:rsidRPr="00680723" w:rsidTr="00921070">
        <w:trPr>
          <w:cantSplit/>
          <w:trHeight w:val="221"/>
          <w:jc w:val="center"/>
        </w:trPr>
        <w:tc>
          <w:tcPr>
            <w:tcW w:w="159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634"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029"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8.2.2义工培训与督导</w:t>
            </w:r>
          </w:p>
        </w:tc>
      </w:tr>
      <w:tr w:rsidR="00630BEA" w:rsidRPr="00680723" w:rsidTr="00921070">
        <w:trPr>
          <w:cantSplit/>
          <w:trHeight w:val="282"/>
          <w:jc w:val="center"/>
        </w:trPr>
        <w:tc>
          <w:tcPr>
            <w:tcW w:w="159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634"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029"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8.2.3义工队伍日常管理</w:t>
            </w:r>
          </w:p>
        </w:tc>
      </w:tr>
      <w:tr w:rsidR="00630BEA" w:rsidRPr="00680723" w:rsidTr="00921070">
        <w:trPr>
          <w:cantSplit/>
          <w:trHeight w:val="203"/>
          <w:jc w:val="center"/>
        </w:trPr>
        <w:tc>
          <w:tcPr>
            <w:tcW w:w="159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634"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029"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8.2.4实施义工服务项目</w:t>
            </w:r>
          </w:p>
        </w:tc>
      </w:tr>
      <w:tr w:rsidR="00630BEA" w:rsidRPr="00680723" w:rsidTr="00921070">
        <w:trPr>
          <w:cantSplit/>
          <w:trHeight w:val="251"/>
          <w:jc w:val="center"/>
        </w:trPr>
        <w:tc>
          <w:tcPr>
            <w:tcW w:w="1595"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8.3社区能力建设</w:t>
            </w:r>
          </w:p>
        </w:tc>
        <w:tc>
          <w:tcPr>
            <w:tcW w:w="2634" w:type="dxa"/>
            <w:vMerge w:val="restart"/>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促进社区自治，开发社区资源</w:t>
            </w:r>
          </w:p>
        </w:tc>
        <w:tc>
          <w:tcPr>
            <w:tcW w:w="4029"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8.3.1社区社会组织、居民自助团体培育、孵化与管理</w:t>
            </w:r>
          </w:p>
        </w:tc>
      </w:tr>
      <w:tr w:rsidR="00630BEA" w:rsidRPr="00680723" w:rsidTr="00921070">
        <w:trPr>
          <w:cantSplit/>
          <w:trHeight w:val="326"/>
          <w:jc w:val="center"/>
        </w:trPr>
        <w:tc>
          <w:tcPr>
            <w:tcW w:w="1595"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634" w:type="dxa"/>
            <w:vMerge/>
            <w:tcBorders>
              <w:top w:val="nil"/>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4029" w:type="dxa"/>
            <w:tcBorders>
              <w:top w:val="nil"/>
              <w:left w:val="nil"/>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8.3.2社区领袖培养</w:t>
            </w:r>
          </w:p>
        </w:tc>
      </w:tr>
      <w:tr w:rsidR="00630BEA" w:rsidRPr="00680723" w:rsidTr="00921070">
        <w:trPr>
          <w:cantSplit/>
          <w:trHeight w:val="136"/>
          <w:jc w:val="center"/>
        </w:trPr>
        <w:tc>
          <w:tcPr>
            <w:tcW w:w="1595"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8.4社区公共事件应急援助</w:t>
            </w:r>
          </w:p>
        </w:tc>
        <w:tc>
          <w:tcPr>
            <w:tcW w:w="2634"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发挥资源平台作用，降低社区公共事件对个体造成的风险和伤害</w:t>
            </w:r>
          </w:p>
        </w:tc>
        <w:tc>
          <w:tcPr>
            <w:tcW w:w="4029" w:type="dxa"/>
            <w:tcBorders>
              <w:top w:val="single" w:sz="4" w:space="0" w:color="auto"/>
              <w:left w:val="nil"/>
              <w:bottom w:val="single" w:sz="4" w:space="0" w:color="auto"/>
              <w:right w:val="single" w:sz="4" w:space="0" w:color="auto"/>
            </w:tcBorders>
          </w:tcPr>
          <w:p w:rsidR="00630BEA" w:rsidRPr="00680723" w:rsidRDefault="00630BEA" w:rsidP="00921070">
            <w:pPr>
              <w:spacing w:line="360" w:lineRule="auto"/>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提供场地、设施及人力支持，配合和协助有关部门做好公共事件的应急与援助工作</w:t>
            </w:r>
          </w:p>
        </w:tc>
      </w:tr>
    </w:tbl>
    <w:p w:rsidR="00630BEA" w:rsidRPr="00680723" w:rsidRDefault="00630BEA" w:rsidP="00630BEA">
      <w:pPr>
        <w:snapToGrid w:val="0"/>
        <w:spacing w:before="100" w:beforeAutospacing="1" w:after="100" w:afterAutospacing="1"/>
        <w:jc w:val="center"/>
        <w:rPr>
          <w:rFonts w:ascii="仿宋_GB2312" w:eastAsia="仿宋_GB2312" w:hAnsi="Calibri" w:cs="宋体"/>
          <w:b/>
          <w:bCs/>
          <w:kern w:val="0"/>
          <w:sz w:val="24"/>
          <w:szCs w:val="24"/>
        </w:rPr>
      </w:pPr>
    </w:p>
    <w:p w:rsidR="00630BEA" w:rsidRPr="00680723" w:rsidRDefault="00630BEA" w:rsidP="00630BEA">
      <w:pPr>
        <w:spacing w:line="360" w:lineRule="auto"/>
        <w:jc w:val="left"/>
        <w:rPr>
          <w:rFonts w:ascii="仿宋_GB2312" w:eastAsia="仿宋_GB2312" w:hAnsi="Times New Roman" w:cs="宋体"/>
          <w:b/>
          <w:bCs/>
          <w:kern w:val="0"/>
          <w:sz w:val="24"/>
          <w:szCs w:val="24"/>
        </w:rPr>
        <w:sectPr w:rsidR="00630BEA" w:rsidRPr="00680723">
          <w:pgSz w:w="11906" w:h="16838"/>
          <w:pgMar w:top="1440" w:right="1800" w:bottom="1440" w:left="1800" w:header="851" w:footer="992" w:gutter="0"/>
          <w:cols w:space="720"/>
          <w:titlePg/>
          <w:docGrid w:type="lines" w:linePitch="312"/>
        </w:sectPr>
      </w:pPr>
    </w:p>
    <w:p w:rsidR="00630BEA" w:rsidRPr="00680723" w:rsidRDefault="00630BEA" w:rsidP="00630BEA">
      <w:pPr>
        <w:snapToGrid w:val="0"/>
        <w:jc w:val="left"/>
        <w:rPr>
          <w:rFonts w:ascii="仿宋_GB2312" w:eastAsia="仿宋_GB2312" w:hAnsi="Times New Roman" w:cs="宋体"/>
          <w:b/>
          <w:bCs/>
          <w:kern w:val="0"/>
          <w:sz w:val="24"/>
          <w:szCs w:val="24"/>
        </w:rPr>
      </w:pPr>
      <w:r w:rsidRPr="00680723">
        <w:rPr>
          <w:rFonts w:ascii="仿宋_GB2312" w:eastAsia="仿宋_GB2312" w:hAnsi="Times New Roman" w:cs="宋体" w:hint="eastAsia"/>
          <w:b/>
          <w:bCs/>
          <w:kern w:val="0"/>
          <w:sz w:val="24"/>
          <w:szCs w:val="24"/>
        </w:rPr>
        <w:lastRenderedPageBreak/>
        <w:t>表九：</w:t>
      </w:r>
    </w:p>
    <w:p w:rsidR="00630BEA" w:rsidRPr="00680723" w:rsidRDefault="00630BEA" w:rsidP="00630BEA">
      <w:pPr>
        <w:snapToGrid w:val="0"/>
        <w:spacing w:after="100" w:afterAutospacing="1"/>
        <w:jc w:val="center"/>
        <w:rPr>
          <w:rFonts w:ascii="仿宋_GB2312" w:eastAsia="仿宋_GB2312" w:hAnsi="Times New Roman" w:cs="宋体"/>
          <w:b/>
          <w:bCs/>
          <w:kern w:val="0"/>
          <w:sz w:val="24"/>
          <w:szCs w:val="24"/>
          <w:vertAlign w:val="superscript"/>
        </w:rPr>
      </w:pPr>
      <w:r w:rsidRPr="00680723">
        <w:rPr>
          <w:rFonts w:ascii="仿宋_GB2312" w:eastAsia="仿宋_GB2312" w:hAnsi="Times New Roman" w:cs="宋体" w:hint="eastAsia"/>
          <w:b/>
          <w:bCs/>
          <w:kern w:val="0"/>
          <w:sz w:val="24"/>
          <w:szCs w:val="24"/>
        </w:rPr>
        <w:t>不同社区类型服务指标量权重建议表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
        <w:gridCol w:w="1024"/>
        <w:gridCol w:w="3214"/>
        <w:gridCol w:w="1276"/>
        <w:gridCol w:w="1276"/>
        <w:gridCol w:w="1598"/>
        <w:gridCol w:w="1225"/>
        <w:gridCol w:w="1418"/>
        <w:gridCol w:w="1276"/>
        <w:gridCol w:w="1250"/>
      </w:tblGrid>
      <w:tr w:rsidR="00630BEA" w:rsidRPr="00680723" w:rsidTr="00921070">
        <w:trPr>
          <w:trHeight w:val="637"/>
          <w:jc w:val="center"/>
        </w:trPr>
        <w:tc>
          <w:tcPr>
            <w:tcW w:w="1461" w:type="dxa"/>
            <w:gridSpan w:val="2"/>
            <w:tcBorders>
              <w:top w:val="single" w:sz="4" w:space="0" w:color="auto"/>
              <w:left w:val="single" w:sz="4" w:space="0" w:color="auto"/>
              <w:bottom w:val="single" w:sz="4" w:space="0" w:color="auto"/>
              <w:right w:val="single" w:sz="4" w:space="0" w:color="auto"/>
              <w:tl2br w:val="single" w:sz="4" w:space="0" w:color="auto"/>
            </w:tcBorders>
          </w:tcPr>
          <w:p w:rsidR="00630BEA" w:rsidRPr="00680723" w:rsidRDefault="00630BEA" w:rsidP="00921070">
            <w:pPr>
              <w:spacing w:line="360" w:lineRule="auto"/>
              <w:jc w:val="left"/>
              <w:rPr>
                <w:rFonts w:ascii="仿宋_GB2312" w:eastAsia="仿宋_GB2312" w:hAnsi="Calibri" w:cs="宋体"/>
                <w:b/>
                <w:bCs/>
                <w:sz w:val="24"/>
                <w:szCs w:val="24"/>
              </w:rPr>
            </w:pPr>
            <w:r w:rsidRPr="00680723">
              <w:rPr>
                <w:rFonts w:ascii="仿宋_GB2312" w:eastAsia="仿宋_GB2312" w:hAnsi="Times New Roman" w:cs="宋体" w:hint="eastAsia"/>
                <w:b/>
                <w:bCs/>
                <w:kern w:val="0"/>
                <w:sz w:val="24"/>
                <w:szCs w:val="24"/>
              </w:rPr>
              <w:t>服务内容</w:t>
            </w:r>
          </w:p>
          <w:p w:rsidR="00630BEA" w:rsidRPr="00680723" w:rsidRDefault="00630BEA" w:rsidP="00921070">
            <w:pPr>
              <w:spacing w:line="360" w:lineRule="auto"/>
              <w:jc w:val="left"/>
              <w:rPr>
                <w:rFonts w:ascii="仿宋_GB2312" w:eastAsia="仿宋_GB2312" w:hAnsi="Times New Roman" w:cs="宋体"/>
                <w:b/>
                <w:bCs/>
                <w:kern w:val="0"/>
                <w:sz w:val="24"/>
                <w:szCs w:val="24"/>
              </w:rPr>
            </w:pPr>
          </w:p>
          <w:p w:rsidR="00630BEA" w:rsidRPr="00680723" w:rsidRDefault="00630BEA" w:rsidP="00921070">
            <w:pPr>
              <w:widowControl w:val="0"/>
              <w:spacing w:line="360" w:lineRule="auto"/>
              <w:rPr>
                <w:rFonts w:ascii="仿宋_GB2312" w:eastAsia="仿宋_GB2312" w:hAnsi="Calibri" w:cs="宋体"/>
                <w:b/>
                <w:bCs/>
                <w:sz w:val="24"/>
                <w:szCs w:val="24"/>
              </w:rPr>
            </w:pPr>
            <w:r w:rsidRPr="00680723">
              <w:rPr>
                <w:rFonts w:ascii="仿宋_GB2312" w:eastAsia="仿宋_GB2312" w:hAnsi="Times New Roman" w:cs="宋体" w:hint="eastAsia"/>
                <w:b/>
                <w:bCs/>
                <w:kern w:val="0"/>
                <w:sz w:val="24"/>
                <w:szCs w:val="24"/>
              </w:rPr>
              <w:t>社区类型</w:t>
            </w:r>
          </w:p>
        </w:tc>
        <w:tc>
          <w:tcPr>
            <w:tcW w:w="3214"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widowControl w:val="0"/>
              <w:spacing w:line="360" w:lineRule="auto"/>
              <w:jc w:val="center"/>
              <w:rPr>
                <w:rFonts w:ascii="仿宋_GB2312" w:eastAsia="仿宋_GB2312" w:hAnsi="Calibri" w:cs="宋体"/>
                <w:b/>
                <w:bCs/>
                <w:sz w:val="24"/>
                <w:szCs w:val="24"/>
              </w:rPr>
            </w:pPr>
            <w:r w:rsidRPr="00680723">
              <w:rPr>
                <w:rFonts w:ascii="仿宋_GB2312" w:eastAsia="仿宋_GB2312" w:hAnsi="Times New Roman" w:cs="宋体" w:hint="eastAsia"/>
                <w:b/>
                <w:bCs/>
                <w:kern w:val="0"/>
                <w:sz w:val="24"/>
                <w:szCs w:val="24"/>
              </w:rPr>
              <w:t>社区类型描述</w:t>
            </w: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widowControl w:val="0"/>
              <w:spacing w:line="360" w:lineRule="auto"/>
              <w:jc w:val="center"/>
              <w:rPr>
                <w:rFonts w:ascii="仿宋_GB2312" w:eastAsia="仿宋_GB2312" w:hAnsi="Calibri" w:cs="宋体"/>
                <w:b/>
                <w:bCs/>
                <w:sz w:val="24"/>
                <w:szCs w:val="24"/>
              </w:rPr>
            </w:pPr>
            <w:r w:rsidRPr="00680723">
              <w:rPr>
                <w:rFonts w:ascii="仿宋_GB2312" w:eastAsia="仿宋_GB2312" w:hAnsi="Times New Roman" w:cs="宋体" w:hint="eastAsia"/>
                <w:b/>
                <w:bCs/>
                <w:kern w:val="0"/>
                <w:sz w:val="24"/>
                <w:szCs w:val="24"/>
              </w:rPr>
              <w:t>服务指标类型</w:t>
            </w: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widowControl w:val="0"/>
              <w:spacing w:line="360" w:lineRule="auto"/>
              <w:jc w:val="center"/>
              <w:rPr>
                <w:rFonts w:ascii="仿宋_GB2312" w:eastAsia="仿宋_GB2312" w:hAnsi="Calibri" w:cs="宋体"/>
                <w:b/>
                <w:bCs/>
                <w:sz w:val="24"/>
                <w:szCs w:val="24"/>
              </w:rPr>
            </w:pPr>
            <w:r w:rsidRPr="00680723">
              <w:rPr>
                <w:rFonts w:ascii="仿宋_GB2312" w:eastAsia="仿宋_GB2312" w:hAnsi="Times New Roman" w:cs="宋体" w:hint="eastAsia"/>
                <w:b/>
                <w:bCs/>
                <w:kern w:val="0"/>
                <w:sz w:val="24"/>
                <w:szCs w:val="24"/>
              </w:rPr>
              <w:t>助老服务</w:t>
            </w:r>
          </w:p>
        </w:tc>
        <w:tc>
          <w:tcPr>
            <w:tcW w:w="1598"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widowControl w:val="0"/>
              <w:spacing w:line="360" w:lineRule="auto"/>
              <w:jc w:val="center"/>
              <w:rPr>
                <w:rFonts w:ascii="仿宋_GB2312" w:eastAsia="仿宋_GB2312" w:hAnsi="Calibri" w:cs="宋体"/>
                <w:b/>
                <w:bCs/>
                <w:sz w:val="24"/>
                <w:szCs w:val="24"/>
              </w:rPr>
            </w:pPr>
            <w:r w:rsidRPr="00680723">
              <w:rPr>
                <w:rFonts w:ascii="仿宋_GB2312" w:eastAsia="仿宋_GB2312" w:hAnsi="Times New Roman" w:cs="宋体" w:hint="eastAsia"/>
                <w:b/>
                <w:bCs/>
                <w:kern w:val="0"/>
                <w:sz w:val="24"/>
                <w:szCs w:val="24"/>
              </w:rPr>
              <w:t>妇女、儿童、家庭服务</w:t>
            </w:r>
          </w:p>
        </w:tc>
        <w:tc>
          <w:tcPr>
            <w:tcW w:w="1225"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b/>
                <w:bCs/>
                <w:sz w:val="24"/>
                <w:szCs w:val="24"/>
              </w:rPr>
            </w:pPr>
            <w:r w:rsidRPr="00680723">
              <w:rPr>
                <w:rFonts w:ascii="仿宋_GB2312" w:eastAsia="仿宋_GB2312" w:hAnsi="Times New Roman" w:cs="宋体" w:hint="eastAsia"/>
                <w:b/>
                <w:bCs/>
                <w:kern w:val="0"/>
                <w:sz w:val="24"/>
                <w:szCs w:val="24"/>
              </w:rPr>
              <w:t>青少年</w:t>
            </w:r>
          </w:p>
          <w:p w:rsidR="00630BEA" w:rsidRPr="00680723" w:rsidRDefault="00630BEA" w:rsidP="00921070">
            <w:pPr>
              <w:widowControl w:val="0"/>
              <w:spacing w:line="360" w:lineRule="auto"/>
              <w:jc w:val="center"/>
              <w:rPr>
                <w:rFonts w:ascii="仿宋_GB2312" w:eastAsia="仿宋_GB2312" w:hAnsi="Calibri" w:cs="宋体"/>
                <w:b/>
                <w:bCs/>
                <w:sz w:val="24"/>
                <w:szCs w:val="24"/>
              </w:rPr>
            </w:pPr>
            <w:r w:rsidRPr="00680723">
              <w:rPr>
                <w:rFonts w:ascii="仿宋_GB2312" w:eastAsia="仿宋_GB2312" w:hAnsi="Times New Roman" w:cs="宋体" w:hint="eastAsia"/>
                <w:b/>
                <w:bCs/>
                <w:kern w:val="0"/>
                <w:sz w:val="24"/>
                <w:szCs w:val="24"/>
              </w:rPr>
              <w:t>服务</w:t>
            </w:r>
          </w:p>
        </w:tc>
        <w:tc>
          <w:tcPr>
            <w:tcW w:w="1418"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widowControl w:val="0"/>
              <w:spacing w:line="360" w:lineRule="auto"/>
              <w:jc w:val="center"/>
              <w:rPr>
                <w:rFonts w:ascii="仿宋_GB2312" w:eastAsia="仿宋_GB2312" w:hAnsi="Calibri" w:cs="宋体"/>
                <w:b/>
                <w:bCs/>
                <w:sz w:val="24"/>
                <w:szCs w:val="24"/>
              </w:rPr>
            </w:pPr>
            <w:r w:rsidRPr="00680723">
              <w:rPr>
                <w:rFonts w:ascii="仿宋_GB2312" w:eastAsia="仿宋_GB2312" w:hAnsi="Times New Roman" w:cs="宋体" w:hint="eastAsia"/>
                <w:b/>
                <w:bCs/>
                <w:kern w:val="0"/>
                <w:sz w:val="24"/>
                <w:szCs w:val="24"/>
              </w:rPr>
              <w:t>助残、优抚、特定人群服务</w:t>
            </w: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b/>
                <w:bCs/>
                <w:sz w:val="24"/>
                <w:szCs w:val="24"/>
              </w:rPr>
            </w:pPr>
            <w:r w:rsidRPr="00680723">
              <w:rPr>
                <w:rFonts w:ascii="仿宋_GB2312" w:eastAsia="仿宋_GB2312" w:hAnsi="Times New Roman" w:cs="宋体" w:hint="eastAsia"/>
                <w:b/>
                <w:bCs/>
                <w:kern w:val="0"/>
                <w:sz w:val="24"/>
                <w:szCs w:val="24"/>
              </w:rPr>
              <w:t>居民自助</w:t>
            </w:r>
          </w:p>
          <w:p w:rsidR="00630BEA" w:rsidRPr="00680723" w:rsidRDefault="00630BEA" w:rsidP="00921070">
            <w:pPr>
              <w:widowControl w:val="0"/>
              <w:spacing w:line="360" w:lineRule="auto"/>
              <w:jc w:val="center"/>
              <w:rPr>
                <w:rFonts w:ascii="仿宋_GB2312" w:eastAsia="仿宋_GB2312" w:hAnsi="Calibri" w:cs="宋体"/>
                <w:b/>
                <w:bCs/>
                <w:sz w:val="24"/>
                <w:szCs w:val="24"/>
              </w:rPr>
            </w:pPr>
            <w:r w:rsidRPr="00680723">
              <w:rPr>
                <w:rFonts w:ascii="仿宋_GB2312" w:eastAsia="仿宋_GB2312" w:hAnsi="Times New Roman" w:cs="宋体" w:hint="eastAsia"/>
                <w:b/>
                <w:bCs/>
                <w:kern w:val="0"/>
                <w:sz w:val="24"/>
                <w:szCs w:val="24"/>
              </w:rPr>
              <w:t>互助服务</w:t>
            </w:r>
          </w:p>
        </w:tc>
        <w:tc>
          <w:tcPr>
            <w:tcW w:w="1250"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widowControl w:val="0"/>
              <w:spacing w:line="360" w:lineRule="auto"/>
              <w:jc w:val="center"/>
              <w:rPr>
                <w:rFonts w:ascii="仿宋_GB2312" w:eastAsia="仿宋_GB2312" w:hAnsi="Calibri" w:cs="宋体"/>
                <w:b/>
                <w:bCs/>
                <w:sz w:val="24"/>
                <w:szCs w:val="24"/>
              </w:rPr>
            </w:pPr>
            <w:r w:rsidRPr="00680723">
              <w:rPr>
                <w:rFonts w:ascii="仿宋_GB2312" w:eastAsia="仿宋_GB2312" w:hAnsi="Times New Roman" w:cs="宋体" w:hint="eastAsia"/>
                <w:b/>
                <w:bCs/>
                <w:kern w:val="0"/>
                <w:sz w:val="24"/>
                <w:szCs w:val="24"/>
              </w:rPr>
              <w:t>其他服务</w:t>
            </w:r>
          </w:p>
        </w:tc>
      </w:tr>
      <w:tr w:rsidR="00630BEA" w:rsidRPr="00680723" w:rsidTr="00921070">
        <w:trPr>
          <w:cantSplit/>
          <w:trHeight w:val="767"/>
          <w:jc w:val="center"/>
        </w:trPr>
        <w:tc>
          <w:tcPr>
            <w:tcW w:w="437" w:type="dxa"/>
            <w:vMerge w:val="restart"/>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widowControl w:val="0"/>
              <w:spacing w:line="360" w:lineRule="auto"/>
              <w:jc w:val="center"/>
              <w:rPr>
                <w:rFonts w:ascii="仿宋_GB2312" w:eastAsia="仿宋_GB2312" w:hAnsi="Calibri" w:cs="宋体"/>
                <w:sz w:val="24"/>
                <w:szCs w:val="24"/>
              </w:rPr>
            </w:pPr>
            <w:r w:rsidRPr="00680723">
              <w:rPr>
                <w:rFonts w:ascii="仿宋_GB2312" w:eastAsia="仿宋_GB2312" w:hAnsi="Times New Roman" w:cs="宋体" w:hint="eastAsia"/>
                <w:kern w:val="0"/>
                <w:sz w:val="24"/>
                <w:szCs w:val="24"/>
              </w:rPr>
              <w:t>纯居民社区</w:t>
            </w:r>
          </w:p>
        </w:tc>
        <w:tc>
          <w:tcPr>
            <w:tcW w:w="1024" w:type="dxa"/>
            <w:vMerge w:val="restart"/>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widowControl w:val="0"/>
              <w:spacing w:line="360" w:lineRule="auto"/>
              <w:jc w:val="center"/>
              <w:rPr>
                <w:rFonts w:ascii="仿宋_GB2312" w:eastAsia="仿宋_GB2312" w:hAnsi="Calibri" w:cs="宋体"/>
                <w:sz w:val="24"/>
                <w:szCs w:val="24"/>
              </w:rPr>
            </w:pPr>
            <w:r w:rsidRPr="00680723">
              <w:rPr>
                <w:rFonts w:ascii="仿宋_GB2312" w:eastAsia="仿宋_GB2312" w:hAnsi="Times New Roman" w:cs="宋体" w:hint="eastAsia"/>
                <w:kern w:val="0"/>
                <w:sz w:val="24"/>
                <w:szCs w:val="24"/>
              </w:rPr>
              <w:t>传统城市社区</w:t>
            </w:r>
          </w:p>
        </w:tc>
        <w:tc>
          <w:tcPr>
            <w:tcW w:w="3214" w:type="dxa"/>
            <w:vMerge w:val="restart"/>
            <w:tcBorders>
              <w:top w:val="single" w:sz="4" w:space="0" w:color="auto"/>
              <w:left w:val="single" w:sz="4" w:space="0" w:color="auto"/>
              <w:bottom w:val="single" w:sz="4" w:space="0" w:color="auto"/>
              <w:right w:val="single" w:sz="4" w:space="0" w:color="auto"/>
            </w:tcBorders>
          </w:tcPr>
          <w:p w:rsidR="00630BEA" w:rsidRPr="00680723" w:rsidRDefault="00630BEA" w:rsidP="00921070">
            <w:pPr>
              <w:widowControl w:val="0"/>
              <w:spacing w:line="360" w:lineRule="auto"/>
              <w:jc w:val="left"/>
              <w:rPr>
                <w:rFonts w:ascii="仿宋_GB2312" w:eastAsia="仿宋_GB2312" w:hAnsi="Calibri" w:cs="宋体"/>
                <w:sz w:val="24"/>
                <w:szCs w:val="24"/>
              </w:rPr>
            </w:pPr>
            <w:r w:rsidRPr="00680723">
              <w:rPr>
                <w:rFonts w:ascii="仿宋_GB2312" w:eastAsia="仿宋_GB2312" w:hAnsi="Times New Roman" w:cs="宋体" w:hint="eastAsia"/>
                <w:kern w:val="0"/>
                <w:sz w:val="24"/>
                <w:szCs w:val="24"/>
              </w:rPr>
              <w:t>形成较早、位于老城区、以户籍或本地人口为主、人口流动性较小、居民收入与文化水平相对较低、配套设施与服务资源相对较差的社区</w:t>
            </w: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widowControl w:val="0"/>
              <w:spacing w:line="360" w:lineRule="auto"/>
              <w:jc w:val="center"/>
              <w:rPr>
                <w:rFonts w:ascii="仿宋_GB2312" w:eastAsia="仿宋_GB2312" w:hAnsi="Calibri" w:cs="宋体"/>
                <w:sz w:val="24"/>
                <w:szCs w:val="24"/>
              </w:rPr>
            </w:pPr>
            <w:r w:rsidRPr="00680723">
              <w:rPr>
                <w:rFonts w:ascii="仿宋_GB2312" w:eastAsia="仿宋_GB2312" w:hAnsi="Times New Roman" w:cs="宋体" w:hint="eastAsia"/>
                <w:kern w:val="0"/>
                <w:sz w:val="24"/>
                <w:szCs w:val="24"/>
              </w:rPr>
              <w:t>个体服务</w:t>
            </w: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20%</w:t>
            </w:r>
          </w:p>
        </w:tc>
        <w:tc>
          <w:tcPr>
            <w:tcW w:w="1598"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30%</w:t>
            </w:r>
          </w:p>
        </w:tc>
        <w:tc>
          <w:tcPr>
            <w:tcW w:w="1225"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30%</w:t>
            </w:r>
          </w:p>
        </w:tc>
        <w:tc>
          <w:tcPr>
            <w:tcW w:w="1418"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w:t>
            </w:r>
          </w:p>
        </w:tc>
        <w:tc>
          <w:tcPr>
            <w:tcW w:w="1250"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10%</w:t>
            </w:r>
          </w:p>
        </w:tc>
      </w:tr>
      <w:tr w:rsidR="00630BEA" w:rsidRPr="00680723" w:rsidTr="00921070">
        <w:trPr>
          <w:cantSplit/>
          <w:trHeight w:val="1733"/>
          <w:jc w:val="center"/>
        </w:trPr>
        <w:tc>
          <w:tcPr>
            <w:tcW w:w="437" w:type="dxa"/>
            <w:vMerge/>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sz w:val="24"/>
                <w:szCs w:val="24"/>
              </w:rPr>
            </w:pPr>
          </w:p>
        </w:tc>
        <w:tc>
          <w:tcPr>
            <w:tcW w:w="1024" w:type="dxa"/>
            <w:vMerge/>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sz w:val="24"/>
                <w:szCs w:val="24"/>
              </w:rPr>
            </w:pPr>
          </w:p>
        </w:tc>
        <w:tc>
          <w:tcPr>
            <w:tcW w:w="3214" w:type="dxa"/>
            <w:vMerge/>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widowControl w:val="0"/>
              <w:spacing w:line="360" w:lineRule="auto"/>
              <w:jc w:val="center"/>
              <w:rPr>
                <w:rFonts w:ascii="仿宋_GB2312" w:eastAsia="仿宋_GB2312" w:hAnsi="Calibri" w:cs="宋体"/>
                <w:sz w:val="24"/>
                <w:szCs w:val="24"/>
              </w:rPr>
            </w:pPr>
            <w:r w:rsidRPr="00680723">
              <w:rPr>
                <w:rFonts w:ascii="仿宋_GB2312" w:eastAsia="仿宋_GB2312" w:hAnsi="Times New Roman" w:cs="宋体" w:hint="eastAsia"/>
                <w:kern w:val="0"/>
                <w:sz w:val="24"/>
                <w:szCs w:val="24"/>
              </w:rPr>
              <w:t>群体服务</w:t>
            </w: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15%</w:t>
            </w:r>
          </w:p>
        </w:tc>
        <w:tc>
          <w:tcPr>
            <w:tcW w:w="1598"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30%</w:t>
            </w:r>
          </w:p>
        </w:tc>
        <w:tc>
          <w:tcPr>
            <w:tcW w:w="1225"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25%</w:t>
            </w:r>
          </w:p>
        </w:tc>
        <w:tc>
          <w:tcPr>
            <w:tcW w:w="1418"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20%</w:t>
            </w:r>
          </w:p>
        </w:tc>
        <w:tc>
          <w:tcPr>
            <w:tcW w:w="1250"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w:t>
            </w:r>
          </w:p>
        </w:tc>
      </w:tr>
      <w:tr w:rsidR="00630BEA" w:rsidRPr="00680723" w:rsidTr="00921070">
        <w:trPr>
          <w:cantSplit/>
          <w:trHeight w:val="760"/>
          <w:jc w:val="center"/>
        </w:trPr>
        <w:tc>
          <w:tcPr>
            <w:tcW w:w="437" w:type="dxa"/>
            <w:vMerge/>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sz w:val="24"/>
                <w:szCs w:val="24"/>
              </w:rPr>
            </w:pPr>
          </w:p>
        </w:tc>
        <w:tc>
          <w:tcPr>
            <w:tcW w:w="1024" w:type="dxa"/>
            <w:vMerge w:val="restart"/>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widowControl w:val="0"/>
              <w:spacing w:line="360" w:lineRule="auto"/>
              <w:jc w:val="center"/>
              <w:rPr>
                <w:rFonts w:ascii="仿宋_GB2312" w:eastAsia="仿宋_GB2312" w:hAnsi="Calibri" w:cs="宋体"/>
                <w:sz w:val="24"/>
                <w:szCs w:val="24"/>
              </w:rPr>
            </w:pPr>
            <w:r w:rsidRPr="00680723">
              <w:rPr>
                <w:rFonts w:ascii="仿宋_GB2312" w:eastAsia="仿宋_GB2312" w:hAnsi="Times New Roman" w:cs="宋体" w:hint="eastAsia"/>
                <w:kern w:val="0"/>
                <w:sz w:val="24"/>
                <w:szCs w:val="24"/>
              </w:rPr>
              <w:t>现代化社区</w:t>
            </w:r>
          </w:p>
        </w:tc>
        <w:tc>
          <w:tcPr>
            <w:tcW w:w="3214" w:type="dxa"/>
            <w:vMerge w:val="restart"/>
            <w:tcBorders>
              <w:top w:val="single" w:sz="4" w:space="0" w:color="auto"/>
              <w:left w:val="single" w:sz="4" w:space="0" w:color="auto"/>
              <w:bottom w:val="single" w:sz="4" w:space="0" w:color="auto"/>
              <w:right w:val="single" w:sz="4" w:space="0" w:color="auto"/>
            </w:tcBorders>
          </w:tcPr>
          <w:p w:rsidR="00630BEA" w:rsidRPr="00680723" w:rsidRDefault="00630BEA" w:rsidP="00921070">
            <w:pPr>
              <w:widowControl w:val="0"/>
              <w:spacing w:line="360" w:lineRule="auto"/>
              <w:jc w:val="left"/>
              <w:rPr>
                <w:rFonts w:ascii="仿宋_GB2312" w:eastAsia="仿宋_GB2312" w:hAnsi="Calibri" w:cs="宋体"/>
                <w:sz w:val="24"/>
                <w:szCs w:val="24"/>
              </w:rPr>
            </w:pPr>
            <w:r w:rsidRPr="00680723">
              <w:rPr>
                <w:rFonts w:ascii="仿宋_GB2312" w:eastAsia="仿宋_GB2312" w:hAnsi="Times New Roman" w:cs="宋体" w:hint="eastAsia"/>
                <w:kern w:val="0"/>
                <w:sz w:val="24"/>
                <w:szCs w:val="24"/>
              </w:rPr>
              <w:t>近年投资兴建、由商品房或福利性分房组成、人口流动性较小、居民收入与文化水平相对较高、配套设施与服务资源相对完善的社区</w:t>
            </w: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widowControl w:val="0"/>
              <w:spacing w:line="360" w:lineRule="auto"/>
              <w:jc w:val="center"/>
              <w:rPr>
                <w:rFonts w:ascii="仿宋_GB2312" w:eastAsia="仿宋_GB2312" w:hAnsi="Calibri" w:cs="宋体"/>
                <w:sz w:val="24"/>
                <w:szCs w:val="24"/>
              </w:rPr>
            </w:pPr>
            <w:r w:rsidRPr="00680723">
              <w:rPr>
                <w:rFonts w:ascii="仿宋_GB2312" w:eastAsia="仿宋_GB2312" w:hAnsi="Times New Roman" w:cs="宋体" w:hint="eastAsia"/>
                <w:kern w:val="0"/>
                <w:sz w:val="24"/>
                <w:szCs w:val="24"/>
              </w:rPr>
              <w:t>个体服务</w:t>
            </w: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15%</w:t>
            </w:r>
          </w:p>
        </w:tc>
        <w:tc>
          <w:tcPr>
            <w:tcW w:w="1598"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35%</w:t>
            </w:r>
          </w:p>
        </w:tc>
        <w:tc>
          <w:tcPr>
            <w:tcW w:w="1225"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30%</w:t>
            </w:r>
          </w:p>
        </w:tc>
        <w:tc>
          <w:tcPr>
            <w:tcW w:w="1418"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w:t>
            </w:r>
          </w:p>
        </w:tc>
        <w:tc>
          <w:tcPr>
            <w:tcW w:w="1250"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10%</w:t>
            </w:r>
          </w:p>
        </w:tc>
      </w:tr>
      <w:tr w:rsidR="00630BEA" w:rsidRPr="00680723" w:rsidTr="00921070">
        <w:trPr>
          <w:cantSplit/>
          <w:trHeight w:val="1740"/>
          <w:jc w:val="center"/>
        </w:trPr>
        <w:tc>
          <w:tcPr>
            <w:tcW w:w="437" w:type="dxa"/>
            <w:vMerge/>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sz w:val="24"/>
                <w:szCs w:val="24"/>
              </w:rPr>
            </w:pPr>
          </w:p>
        </w:tc>
        <w:tc>
          <w:tcPr>
            <w:tcW w:w="1024" w:type="dxa"/>
            <w:vMerge/>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sz w:val="24"/>
                <w:szCs w:val="24"/>
              </w:rPr>
            </w:pPr>
          </w:p>
        </w:tc>
        <w:tc>
          <w:tcPr>
            <w:tcW w:w="3214" w:type="dxa"/>
            <w:vMerge/>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widowControl w:val="0"/>
              <w:spacing w:line="360" w:lineRule="auto"/>
              <w:jc w:val="center"/>
              <w:rPr>
                <w:rFonts w:ascii="仿宋_GB2312" w:eastAsia="仿宋_GB2312" w:hAnsi="Calibri" w:cs="宋体"/>
                <w:sz w:val="24"/>
                <w:szCs w:val="24"/>
              </w:rPr>
            </w:pPr>
            <w:r w:rsidRPr="00680723">
              <w:rPr>
                <w:rFonts w:ascii="仿宋_GB2312" w:eastAsia="仿宋_GB2312" w:hAnsi="Times New Roman" w:cs="宋体" w:hint="eastAsia"/>
                <w:kern w:val="0"/>
                <w:sz w:val="24"/>
                <w:szCs w:val="24"/>
              </w:rPr>
              <w:t>群体服务</w:t>
            </w: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15%</w:t>
            </w:r>
          </w:p>
        </w:tc>
        <w:tc>
          <w:tcPr>
            <w:tcW w:w="1598"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25%</w:t>
            </w:r>
          </w:p>
        </w:tc>
        <w:tc>
          <w:tcPr>
            <w:tcW w:w="1225"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20%</w:t>
            </w:r>
          </w:p>
        </w:tc>
        <w:tc>
          <w:tcPr>
            <w:tcW w:w="1418"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30%</w:t>
            </w:r>
          </w:p>
        </w:tc>
        <w:tc>
          <w:tcPr>
            <w:tcW w:w="1250"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w:t>
            </w:r>
          </w:p>
        </w:tc>
      </w:tr>
      <w:tr w:rsidR="00630BEA" w:rsidRPr="00680723" w:rsidTr="00921070">
        <w:trPr>
          <w:cantSplit/>
          <w:trHeight w:val="740"/>
          <w:jc w:val="center"/>
        </w:trPr>
        <w:tc>
          <w:tcPr>
            <w:tcW w:w="1461" w:type="dxa"/>
            <w:gridSpan w:val="2"/>
            <w:vMerge w:val="restart"/>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widowControl w:val="0"/>
              <w:spacing w:line="360" w:lineRule="auto"/>
              <w:jc w:val="center"/>
              <w:rPr>
                <w:rFonts w:ascii="仿宋_GB2312" w:eastAsia="仿宋_GB2312" w:hAnsi="Calibri" w:cs="宋体"/>
                <w:sz w:val="24"/>
                <w:szCs w:val="24"/>
              </w:rPr>
            </w:pPr>
            <w:r w:rsidRPr="00680723">
              <w:rPr>
                <w:rFonts w:ascii="仿宋_GB2312" w:eastAsia="仿宋_GB2312" w:hAnsi="Times New Roman" w:cs="宋体" w:hint="eastAsia"/>
                <w:kern w:val="0"/>
                <w:sz w:val="24"/>
                <w:szCs w:val="24"/>
              </w:rPr>
              <w:lastRenderedPageBreak/>
              <w:t>城中村社区</w:t>
            </w:r>
          </w:p>
        </w:tc>
        <w:tc>
          <w:tcPr>
            <w:tcW w:w="3214" w:type="dxa"/>
            <w:vMerge w:val="restart"/>
            <w:tcBorders>
              <w:top w:val="single" w:sz="4" w:space="0" w:color="auto"/>
              <w:left w:val="single" w:sz="4" w:space="0" w:color="auto"/>
              <w:bottom w:val="single" w:sz="4" w:space="0" w:color="auto"/>
              <w:right w:val="single" w:sz="4" w:space="0" w:color="auto"/>
            </w:tcBorders>
          </w:tcPr>
          <w:p w:rsidR="00630BEA" w:rsidRPr="00680723" w:rsidRDefault="00630BEA" w:rsidP="00921070">
            <w:pPr>
              <w:widowControl w:val="0"/>
              <w:spacing w:line="360" w:lineRule="auto"/>
              <w:jc w:val="left"/>
              <w:rPr>
                <w:rFonts w:ascii="仿宋_GB2312" w:eastAsia="仿宋_GB2312" w:hAnsi="Calibri" w:cs="宋体"/>
                <w:sz w:val="24"/>
                <w:szCs w:val="24"/>
              </w:rPr>
            </w:pPr>
            <w:r w:rsidRPr="00680723">
              <w:rPr>
                <w:rFonts w:ascii="仿宋_GB2312" w:eastAsia="仿宋_GB2312" w:hAnsi="Times New Roman" w:cs="宋体" w:hint="eastAsia"/>
                <w:kern w:val="0"/>
                <w:sz w:val="24"/>
                <w:szCs w:val="24"/>
              </w:rPr>
              <w:t>具有城中村地理及经济特征、以非户籍人口为主、人口流动性大、居民收入与文化水平相对较低、配套设施与服务资源相对较差的社区</w:t>
            </w: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widowControl w:val="0"/>
              <w:spacing w:line="360" w:lineRule="auto"/>
              <w:jc w:val="center"/>
              <w:rPr>
                <w:rFonts w:ascii="仿宋_GB2312" w:eastAsia="仿宋_GB2312" w:hAnsi="Calibri" w:cs="宋体"/>
                <w:sz w:val="24"/>
                <w:szCs w:val="24"/>
              </w:rPr>
            </w:pPr>
            <w:r w:rsidRPr="00680723">
              <w:rPr>
                <w:rFonts w:ascii="仿宋_GB2312" w:eastAsia="仿宋_GB2312" w:hAnsi="Times New Roman" w:cs="宋体" w:hint="eastAsia"/>
                <w:kern w:val="0"/>
                <w:sz w:val="24"/>
                <w:szCs w:val="24"/>
              </w:rPr>
              <w:t>个体服务</w:t>
            </w: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w:t>
            </w:r>
          </w:p>
        </w:tc>
        <w:tc>
          <w:tcPr>
            <w:tcW w:w="1598"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40%</w:t>
            </w:r>
          </w:p>
        </w:tc>
        <w:tc>
          <w:tcPr>
            <w:tcW w:w="1225"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35%</w:t>
            </w:r>
          </w:p>
        </w:tc>
        <w:tc>
          <w:tcPr>
            <w:tcW w:w="1418"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w:t>
            </w:r>
          </w:p>
        </w:tc>
        <w:tc>
          <w:tcPr>
            <w:tcW w:w="1250"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10%</w:t>
            </w:r>
          </w:p>
        </w:tc>
      </w:tr>
      <w:tr w:rsidR="00630BEA" w:rsidRPr="00680723" w:rsidTr="00921070">
        <w:trPr>
          <w:cantSplit/>
          <w:trHeight w:val="320"/>
          <w:jc w:val="center"/>
        </w:trPr>
        <w:tc>
          <w:tcPr>
            <w:tcW w:w="1461" w:type="dxa"/>
            <w:gridSpan w:val="2"/>
            <w:vMerge/>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sz w:val="24"/>
                <w:szCs w:val="24"/>
              </w:rPr>
            </w:pPr>
          </w:p>
        </w:tc>
        <w:tc>
          <w:tcPr>
            <w:tcW w:w="3214" w:type="dxa"/>
            <w:vMerge/>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widowControl w:val="0"/>
              <w:spacing w:line="360" w:lineRule="auto"/>
              <w:jc w:val="center"/>
              <w:rPr>
                <w:rFonts w:ascii="仿宋_GB2312" w:eastAsia="仿宋_GB2312" w:hAnsi="Calibri" w:cs="宋体"/>
                <w:sz w:val="24"/>
                <w:szCs w:val="24"/>
              </w:rPr>
            </w:pPr>
            <w:r w:rsidRPr="00680723">
              <w:rPr>
                <w:rFonts w:ascii="仿宋_GB2312" w:eastAsia="仿宋_GB2312" w:hAnsi="Times New Roman" w:cs="宋体" w:hint="eastAsia"/>
                <w:kern w:val="0"/>
                <w:sz w:val="24"/>
                <w:szCs w:val="24"/>
              </w:rPr>
              <w:t>群体服务</w:t>
            </w: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w:t>
            </w:r>
          </w:p>
        </w:tc>
        <w:tc>
          <w:tcPr>
            <w:tcW w:w="1598"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30%</w:t>
            </w:r>
          </w:p>
        </w:tc>
        <w:tc>
          <w:tcPr>
            <w:tcW w:w="1225"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25%</w:t>
            </w:r>
          </w:p>
        </w:tc>
        <w:tc>
          <w:tcPr>
            <w:tcW w:w="1418"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30%</w:t>
            </w:r>
          </w:p>
        </w:tc>
        <w:tc>
          <w:tcPr>
            <w:tcW w:w="1250"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w:t>
            </w:r>
          </w:p>
        </w:tc>
      </w:tr>
      <w:tr w:rsidR="00630BEA" w:rsidRPr="00680723" w:rsidTr="00921070">
        <w:trPr>
          <w:cantSplit/>
          <w:trHeight w:val="719"/>
          <w:jc w:val="center"/>
        </w:trPr>
        <w:tc>
          <w:tcPr>
            <w:tcW w:w="1461" w:type="dxa"/>
            <w:gridSpan w:val="2"/>
            <w:vMerge w:val="restart"/>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widowControl w:val="0"/>
              <w:spacing w:line="360" w:lineRule="auto"/>
              <w:jc w:val="center"/>
              <w:rPr>
                <w:rFonts w:ascii="仿宋_GB2312" w:eastAsia="仿宋_GB2312" w:hAnsi="Calibri" w:cs="宋体"/>
                <w:sz w:val="24"/>
                <w:szCs w:val="24"/>
              </w:rPr>
            </w:pPr>
            <w:proofErr w:type="gramStart"/>
            <w:r w:rsidRPr="00680723">
              <w:rPr>
                <w:rFonts w:ascii="仿宋_GB2312" w:eastAsia="仿宋_GB2312" w:hAnsi="Times New Roman" w:cs="宋体" w:hint="eastAsia"/>
                <w:kern w:val="0"/>
                <w:sz w:val="24"/>
                <w:szCs w:val="24"/>
              </w:rPr>
              <w:t>村改居社区</w:t>
            </w:r>
            <w:proofErr w:type="gramEnd"/>
          </w:p>
        </w:tc>
        <w:tc>
          <w:tcPr>
            <w:tcW w:w="3214" w:type="dxa"/>
            <w:vMerge w:val="restart"/>
            <w:tcBorders>
              <w:top w:val="single" w:sz="4" w:space="0" w:color="auto"/>
              <w:left w:val="single" w:sz="4" w:space="0" w:color="auto"/>
              <w:bottom w:val="single" w:sz="4" w:space="0" w:color="auto"/>
              <w:right w:val="single" w:sz="4" w:space="0" w:color="auto"/>
            </w:tcBorders>
          </w:tcPr>
          <w:p w:rsidR="00630BEA" w:rsidRPr="00680723" w:rsidRDefault="00630BEA" w:rsidP="00921070">
            <w:pPr>
              <w:widowControl w:val="0"/>
              <w:spacing w:line="360" w:lineRule="auto"/>
              <w:jc w:val="left"/>
              <w:rPr>
                <w:rFonts w:ascii="仿宋_GB2312" w:eastAsia="仿宋_GB2312" w:hAnsi="Calibri" w:cs="宋体"/>
                <w:sz w:val="24"/>
                <w:szCs w:val="24"/>
              </w:rPr>
            </w:pPr>
            <w:r w:rsidRPr="00680723">
              <w:rPr>
                <w:rFonts w:ascii="仿宋_GB2312" w:eastAsia="仿宋_GB2312" w:hAnsi="Times New Roman" w:cs="宋体" w:hint="eastAsia"/>
                <w:kern w:val="0"/>
                <w:sz w:val="24"/>
                <w:szCs w:val="24"/>
              </w:rPr>
              <w:t>乡村形态突出、以户籍或本地人口为主、人口流动性较小、居民收入与文化水平相对较低、配套设施与服务资源相对较差的社区</w:t>
            </w: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widowControl w:val="0"/>
              <w:spacing w:line="360" w:lineRule="auto"/>
              <w:jc w:val="center"/>
              <w:rPr>
                <w:rFonts w:ascii="仿宋_GB2312" w:eastAsia="仿宋_GB2312" w:hAnsi="Calibri" w:cs="宋体"/>
                <w:sz w:val="24"/>
                <w:szCs w:val="24"/>
              </w:rPr>
            </w:pPr>
            <w:r w:rsidRPr="00680723">
              <w:rPr>
                <w:rFonts w:ascii="仿宋_GB2312" w:eastAsia="仿宋_GB2312" w:hAnsi="Times New Roman" w:cs="宋体" w:hint="eastAsia"/>
                <w:kern w:val="0"/>
                <w:sz w:val="24"/>
                <w:szCs w:val="24"/>
              </w:rPr>
              <w:t>个体服务</w:t>
            </w: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20%</w:t>
            </w:r>
          </w:p>
        </w:tc>
        <w:tc>
          <w:tcPr>
            <w:tcW w:w="1598"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30%</w:t>
            </w:r>
          </w:p>
        </w:tc>
        <w:tc>
          <w:tcPr>
            <w:tcW w:w="1225"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30%</w:t>
            </w:r>
          </w:p>
        </w:tc>
        <w:tc>
          <w:tcPr>
            <w:tcW w:w="1418"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w:t>
            </w:r>
          </w:p>
        </w:tc>
        <w:tc>
          <w:tcPr>
            <w:tcW w:w="1250"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10%</w:t>
            </w:r>
          </w:p>
        </w:tc>
      </w:tr>
      <w:tr w:rsidR="00630BEA" w:rsidRPr="00680723" w:rsidTr="00921070">
        <w:trPr>
          <w:cantSplit/>
          <w:trHeight w:val="844"/>
          <w:jc w:val="center"/>
        </w:trPr>
        <w:tc>
          <w:tcPr>
            <w:tcW w:w="1461" w:type="dxa"/>
            <w:gridSpan w:val="2"/>
            <w:vMerge/>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sz w:val="24"/>
                <w:szCs w:val="24"/>
              </w:rPr>
            </w:pPr>
          </w:p>
        </w:tc>
        <w:tc>
          <w:tcPr>
            <w:tcW w:w="3214" w:type="dxa"/>
            <w:vMerge/>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widowControl w:val="0"/>
              <w:spacing w:line="360" w:lineRule="auto"/>
              <w:jc w:val="center"/>
              <w:rPr>
                <w:rFonts w:ascii="仿宋_GB2312" w:eastAsia="仿宋_GB2312" w:hAnsi="Calibri" w:cs="宋体"/>
                <w:sz w:val="24"/>
                <w:szCs w:val="24"/>
              </w:rPr>
            </w:pPr>
            <w:r w:rsidRPr="00680723">
              <w:rPr>
                <w:rFonts w:ascii="仿宋_GB2312" w:eastAsia="仿宋_GB2312" w:hAnsi="Times New Roman" w:cs="宋体" w:hint="eastAsia"/>
                <w:kern w:val="0"/>
                <w:sz w:val="24"/>
                <w:szCs w:val="24"/>
              </w:rPr>
              <w:t>群体服务</w:t>
            </w: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15%</w:t>
            </w:r>
          </w:p>
        </w:tc>
        <w:tc>
          <w:tcPr>
            <w:tcW w:w="1598"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30%</w:t>
            </w:r>
          </w:p>
        </w:tc>
        <w:tc>
          <w:tcPr>
            <w:tcW w:w="1225"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25%</w:t>
            </w:r>
          </w:p>
        </w:tc>
        <w:tc>
          <w:tcPr>
            <w:tcW w:w="1418"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20%</w:t>
            </w:r>
          </w:p>
        </w:tc>
        <w:tc>
          <w:tcPr>
            <w:tcW w:w="1250"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w:t>
            </w:r>
          </w:p>
        </w:tc>
      </w:tr>
      <w:tr w:rsidR="00630BEA" w:rsidRPr="00680723" w:rsidTr="00921070">
        <w:trPr>
          <w:cantSplit/>
          <w:trHeight w:val="830"/>
          <w:jc w:val="center"/>
        </w:trPr>
        <w:tc>
          <w:tcPr>
            <w:tcW w:w="1461" w:type="dxa"/>
            <w:gridSpan w:val="2"/>
            <w:vMerge w:val="restart"/>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widowControl w:val="0"/>
              <w:spacing w:line="360" w:lineRule="auto"/>
              <w:jc w:val="center"/>
              <w:rPr>
                <w:rFonts w:ascii="仿宋_GB2312" w:eastAsia="仿宋_GB2312" w:hAnsi="Calibri" w:cs="宋体"/>
                <w:sz w:val="24"/>
                <w:szCs w:val="24"/>
              </w:rPr>
            </w:pPr>
            <w:r w:rsidRPr="00680723">
              <w:rPr>
                <w:rFonts w:ascii="仿宋_GB2312" w:eastAsia="仿宋_GB2312" w:hAnsi="Times New Roman" w:cs="宋体" w:hint="eastAsia"/>
                <w:kern w:val="0"/>
                <w:sz w:val="24"/>
                <w:szCs w:val="24"/>
              </w:rPr>
              <w:t>工业社区</w:t>
            </w:r>
          </w:p>
        </w:tc>
        <w:tc>
          <w:tcPr>
            <w:tcW w:w="3214" w:type="dxa"/>
            <w:vMerge w:val="restart"/>
            <w:tcBorders>
              <w:top w:val="single" w:sz="4" w:space="0" w:color="auto"/>
              <w:left w:val="single" w:sz="4" w:space="0" w:color="auto"/>
              <w:bottom w:val="single" w:sz="4" w:space="0" w:color="auto"/>
              <w:right w:val="single" w:sz="4" w:space="0" w:color="auto"/>
            </w:tcBorders>
          </w:tcPr>
          <w:p w:rsidR="00630BEA" w:rsidRPr="00680723" w:rsidRDefault="00630BEA" w:rsidP="00921070">
            <w:pPr>
              <w:widowControl w:val="0"/>
              <w:spacing w:line="360" w:lineRule="auto"/>
              <w:jc w:val="left"/>
              <w:rPr>
                <w:rFonts w:ascii="仿宋_GB2312" w:eastAsia="仿宋_GB2312" w:hAnsi="Calibri" w:cs="宋体"/>
                <w:sz w:val="24"/>
                <w:szCs w:val="24"/>
              </w:rPr>
            </w:pPr>
            <w:r w:rsidRPr="00680723">
              <w:rPr>
                <w:rFonts w:ascii="仿宋_GB2312" w:eastAsia="仿宋_GB2312" w:hAnsi="Times New Roman" w:cs="宋体" w:hint="eastAsia"/>
                <w:kern w:val="0"/>
                <w:sz w:val="24"/>
                <w:szCs w:val="24"/>
              </w:rPr>
              <w:t>工厂职工聚居、人口结构单一、非户籍人口为主、居民收入与文化水平相对较低、配套设施与服务资源相对较差的社区</w:t>
            </w: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widowControl w:val="0"/>
              <w:spacing w:line="360" w:lineRule="auto"/>
              <w:jc w:val="center"/>
              <w:rPr>
                <w:rFonts w:ascii="仿宋_GB2312" w:eastAsia="仿宋_GB2312" w:hAnsi="Calibri" w:cs="宋体"/>
                <w:sz w:val="24"/>
                <w:szCs w:val="24"/>
              </w:rPr>
            </w:pPr>
            <w:r w:rsidRPr="00680723">
              <w:rPr>
                <w:rFonts w:ascii="仿宋_GB2312" w:eastAsia="仿宋_GB2312" w:hAnsi="Times New Roman" w:cs="宋体" w:hint="eastAsia"/>
                <w:kern w:val="0"/>
                <w:sz w:val="24"/>
                <w:szCs w:val="24"/>
              </w:rPr>
              <w:t>个体服务</w:t>
            </w: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w:t>
            </w:r>
          </w:p>
        </w:tc>
        <w:tc>
          <w:tcPr>
            <w:tcW w:w="1598"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40%</w:t>
            </w:r>
          </w:p>
        </w:tc>
        <w:tc>
          <w:tcPr>
            <w:tcW w:w="1225"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40%</w:t>
            </w:r>
          </w:p>
        </w:tc>
        <w:tc>
          <w:tcPr>
            <w:tcW w:w="1418"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w:t>
            </w:r>
          </w:p>
        </w:tc>
        <w:tc>
          <w:tcPr>
            <w:tcW w:w="1250"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10%</w:t>
            </w:r>
          </w:p>
        </w:tc>
      </w:tr>
      <w:tr w:rsidR="00630BEA" w:rsidRPr="00680723" w:rsidTr="00921070">
        <w:trPr>
          <w:cantSplit/>
          <w:trHeight w:val="431"/>
          <w:jc w:val="center"/>
        </w:trPr>
        <w:tc>
          <w:tcPr>
            <w:tcW w:w="1461" w:type="dxa"/>
            <w:gridSpan w:val="2"/>
            <w:vMerge/>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sz w:val="24"/>
                <w:szCs w:val="24"/>
              </w:rPr>
            </w:pPr>
          </w:p>
        </w:tc>
        <w:tc>
          <w:tcPr>
            <w:tcW w:w="3214" w:type="dxa"/>
            <w:vMerge/>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widowControl w:val="0"/>
              <w:spacing w:line="360" w:lineRule="auto"/>
              <w:jc w:val="center"/>
              <w:rPr>
                <w:rFonts w:ascii="仿宋_GB2312" w:eastAsia="仿宋_GB2312" w:hAnsi="Calibri" w:cs="宋体"/>
                <w:sz w:val="24"/>
                <w:szCs w:val="24"/>
              </w:rPr>
            </w:pPr>
            <w:r w:rsidRPr="00680723">
              <w:rPr>
                <w:rFonts w:ascii="仿宋_GB2312" w:eastAsia="仿宋_GB2312" w:hAnsi="Times New Roman" w:cs="宋体" w:hint="eastAsia"/>
                <w:kern w:val="0"/>
                <w:sz w:val="24"/>
                <w:szCs w:val="24"/>
              </w:rPr>
              <w:t>群体服务</w:t>
            </w: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w:t>
            </w:r>
          </w:p>
        </w:tc>
        <w:tc>
          <w:tcPr>
            <w:tcW w:w="1598"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35%</w:t>
            </w:r>
          </w:p>
        </w:tc>
        <w:tc>
          <w:tcPr>
            <w:tcW w:w="1225"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35%</w:t>
            </w:r>
          </w:p>
        </w:tc>
        <w:tc>
          <w:tcPr>
            <w:tcW w:w="1418"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20%</w:t>
            </w:r>
          </w:p>
        </w:tc>
        <w:tc>
          <w:tcPr>
            <w:tcW w:w="1250"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w:t>
            </w:r>
          </w:p>
        </w:tc>
      </w:tr>
      <w:tr w:rsidR="00630BEA" w:rsidRPr="00680723" w:rsidTr="00921070">
        <w:trPr>
          <w:cantSplit/>
          <w:trHeight w:val="399"/>
          <w:jc w:val="center"/>
        </w:trPr>
        <w:tc>
          <w:tcPr>
            <w:tcW w:w="1461" w:type="dxa"/>
            <w:gridSpan w:val="2"/>
            <w:vMerge w:val="restart"/>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widowControl w:val="0"/>
              <w:spacing w:line="360" w:lineRule="auto"/>
              <w:jc w:val="center"/>
              <w:rPr>
                <w:rFonts w:ascii="仿宋_GB2312" w:eastAsia="仿宋_GB2312" w:hAnsi="Calibri" w:cs="宋体"/>
                <w:sz w:val="24"/>
                <w:szCs w:val="24"/>
              </w:rPr>
            </w:pPr>
            <w:r w:rsidRPr="00680723">
              <w:rPr>
                <w:rFonts w:ascii="仿宋_GB2312" w:eastAsia="仿宋_GB2312" w:hAnsi="Times New Roman" w:cs="宋体" w:hint="eastAsia"/>
                <w:kern w:val="0"/>
                <w:sz w:val="24"/>
                <w:szCs w:val="24"/>
              </w:rPr>
              <w:t>混合型社区</w:t>
            </w:r>
          </w:p>
        </w:tc>
        <w:tc>
          <w:tcPr>
            <w:tcW w:w="3214" w:type="dxa"/>
            <w:vMerge w:val="restart"/>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widowControl w:val="0"/>
              <w:spacing w:line="360" w:lineRule="auto"/>
              <w:rPr>
                <w:rFonts w:ascii="仿宋_GB2312" w:eastAsia="仿宋_GB2312" w:hAnsi="Calibri" w:cs="宋体"/>
                <w:sz w:val="24"/>
                <w:szCs w:val="24"/>
              </w:rPr>
            </w:pPr>
            <w:r w:rsidRPr="00680723">
              <w:rPr>
                <w:rFonts w:ascii="仿宋_GB2312" w:eastAsia="仿宋_GB2312" w:hAnsi="Times New Roman" w:cs="宋体" w:hint="eastAsia"/>
                <w:kern w:val="0"/>
                <w:sz w:val="24"/>
                <w:szCs w:val="24"/>
              </w:rPr>
              <w:t>兼有以上类型及其他形态社区特征的社区</w:t>
            </w: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widowControl w:val="0"/>
              <w:spacing w:line="360" w:lineRule="auto"/>
              <w:jc w:val="center"/>
              <w:rPr>
                <w:rFonts w:ascii="仿宋_GB2312" w:eastAsia="仿宋_GB2312" w:hAnsi="Calibri" w:cs="宋体"/>
                <w:sz w:val="24"/>
                <w:szCs w:val="24"/>
              </w:rPr>
            </w:pPr>
            <w:r w:rsidRPr="00680723">
              <w:rPr>
                <w:rFonts w:ascii="仿宋_GB2312" w:eastAsia="仿宋_GB2312" w:hAnsi="Times New Roman" w:cs="宋体" w:hint="eastAsia"/>
                <w:kern w:val="0"/>
                <w:sz w:val="24"/>
                <w:szCs w:val="24"/>
              </w:rPr>
              <w:t>个体服务</w:t>
            </w: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10%</w:t>
            </w:r>
          </w:p>
        </w:tc>
        <w:tc>
          <w:tcPr>
            <w:tcW w:w="1598"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40%</w:t>
            </w:r>
          </w:p>
        </w:tc>
        <w:tc>
          <w:tcPr>
            <w:tcW w:w="1225"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30%</w:t>
            </w:r>
          </w:p>
        </w:tc>
        <w:tc>
          <w:tcPr>
            <w:tcW w:w="1418"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w:t>
            </w:r>
          </w:p>
        </w:tc>
        <w:tc>
          <w:tcPr>
            <w:tcW w:w="1250"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10%</w:t>
            </w:r>
          </w:p>
        </w:tc>
      </w:tr>
      <w:tr w:rsidR="00630BEA" w:rsidRPr="00680723" w:rsidTr="00921070">
        <w:trPr>
          <w:cantSplit/>
          <w:trHeight w:val="404"/>
          <w:jc w:val="center"/>
        </w:trPr>
        <w:tc>
          <w:tcPr>
            <w:tcW w:w="1461" w:type="dxa"/>
            <w:gridSpan w:val="2"/>
            <w:vMerge/>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sz w:val="24"/>
                <w:szCs w:val="24"/>
              </w:rPr>
            </w:pPr>
          </w:p>
        </w:tc>
        <w:tc>
          <w:tcPr>
            <w:tcW w:w="3214" w:type="dxa"/>
            <w:vMerge/>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left"/>
              <w:rPr>
                <w:rFonts w:ascii="仿宋_GB2312" w:eastAsia="仿宋_GB2312" w:hAnsi="Calibri" w:cs="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widowControl w:val="0"/>
              <w:spacing w:line="360" w:lineRule="auto"/>
              <w:jc w:val="center"/>
              <w:rPr>
                <w:rFonts w:ascii="仿宋_GB2312" w:eastAsia="仿宋_GB2312" w:hAnsi="Calibri" w:cs="宋体"/>
                <w:sz w:val="24"/>
                <w:szCs w:val="24"/>
              </w:rPr>
            </w:pPr>
            <w:r w:rsidRPr="00680723">
              <w:rPr>
                <w:rFonts w:ascii="仿宋_GB2312" w:eastAsia="仿宋_GB2312" w:hAnsi="Times New Roman" w:cs="宋体" w:hint="eastAsia"/>
                <w:kern w:val="0"/>
                <w:sz w:val="24"/>
                <w:szCs w:val="24"/>
              </w:rPr>
              <w:t>群体服务</w:t>
            </w: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10%</w:t>
            </w:r>
          </w:p>
        </w:tc>
        <w:tc>
          <w:tcPr>
            <w:tcW w:w="1598"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30%</w:t>
            </w:r>
          </w:p>
        </w:tc>
        <w:tc>
          <w:tcPr>
            <w:tcW w:w="1225"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20%</w:t>
            </w:r>
          </w:p>
        </w:tc>
        <w:tc>
          <w:tcPr>
            <w:tcW w:w="1418"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30%</w:t>
            </w:r>
          </w:p>
        </w:tc>
        <w:tc>
          <w:tcPr>
            <w:tcW w:w="1250" w:type="dxa"/>
            <w:tcBorders>
              <w:top w:val="single" w:sz="4" w:space="0" w:color="auto"/>
              <w:left w:val="single" w:sz="4" w:space="0" w:color="auto"/>
              <w:bottom w:val="single" w:sz="4" w:space="0" w:color="auto"/>
              <w:right w:val="single" w:sz="4" w:space="0" w:color="auto"/>
            </w:tcBorders>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5%</w:t>
            </w:r>
          </w:p>
        </w:tc>
      </w:tr>
    </w:tbl>
    <w:p w:rsidR="00630BEA" w:rsidRPr="00680723" w:rsidRDefault="00630BEA" w:rsidP="00630BEA">
      <w:pPr>
        <w:snapToGrid w:val="0"/>
        <w:spacing w:before="240"/>
        <w:jc w:val="left"/>
        <w:rPr>
          <w:rFonts w:ascii="仿宋_GB2312" w:eastAsia="仿宋_GB2312" w:hAnsi="Calibri" w:cs="宋体"/>
          <w:kern w:val="0"/>
          <w:sz w:val="20"/>
          <w:szCs w:val="20"/>
        </w:rPr>
      </w:pPr>
      <w:r w:rsidRPr="00680723">
        <w:rPr>
          <w:rFonts w:ascii="仿宋_GB2312" w:eastAsia="仿宋_GB2312" w:hAnsi="Times New Roman" w:cs="宋体" w:hint="eastAsia"/>
          <w:kern w:val="0"/>
          <w:sz w:val="20"/>
          <w:szCs w:val="20"/>
        </w:rPr>
        <w:lastRenderedPageBreak/>
        <w:t>*注释：</w:t>
      </w:r>
    </w:p>
    <w:p w:rsidR="00630BEA" w:rsidRPr="00680723" w:rsidRDefault="00630BEA" w:rsidP="00630BEA">
      <w:pPr>
        <w:snapToGrid w:val="0"/>
        <w:jc w:val="left"/>
        <w:rPr>
          <w:rFonts w:ascii="仿宋_GB2312" w:eastAsia="仿宋_GB2312" w:hAnsi="Times New Roman" w:cs="宋体"/>
          <w:kern w:val="0"/>
          <w:sz w:val="20"/>
          <w:szCs w:val="20"/>
        </w:rPr>
      </w:pPr>
      <w:r w:rsidRPr="00680723">
        <w:rPr>
          <w:rFonts w:ascii="仿宋_GB2312" w:eastAsia="仿宋_GB2312" w:hAnsi="Times New Roman" w:cs="宋体" w:hint="eastAsia"/>
          <w:kern w:val="0"/>
          <w:sz w:val="20"/>
          <w:szCs w:val="20"/>
        </w:rPr>
        <w:t>1、该表格将总体协议服务量划分为个体服务指标（包括探访、咨询、个案辅导、家庭治疗等针对个人的服务形式）及群体服务指标（包括小组、兴趣班、工作坊、讲座、社区活动等非针对个人的服务形式），并针对不同类型社区，对各类服务内容下的服务量所占个体或群体协议服务量的权重分别给出建议。</w:t>
      </w:r>
    </w:p>
    <w:p w:rsidR="00630BEA" w:rsidRPr="00680723" w:rsidRDefault="00630BEA" w:rsidP="00630BEA">
      <w:pPr>
        <w:snapToGrid w:val="0"/>
        <w:jc w:val="left"/>
        <w:rPr>
          <w:rFonts w:ascii="仿宋_GB2312" w:eastAsia="仿宋_GB2312" w:hAnsi="Times New Roman" w:cs="宋体"/>
          <w:kern w:val="0"/>
          <w:sz w:val="20"/>
          <w:szCs w:val="20"/>
        </w:rPr>
      </w:pPr>
      <w:r w:rsidRPr="00680723">
        <w:rPr>
          <w:rFonts w:ascii="仿宋_GB2312" w:eastAsia="仿宋_GB2312" w:hAnsi="Times New Roman" w:cs="宋体" w:hint="eastAsia"/>
          <w:kern w:val="0"/>
          <w:sz w:val="20"/>
          <w:szCs w:val="20"/>
        </w:rPr>
        <w:t>2、若助残、优抚及特定人群服务人数达不到开设服务标准或没有开设任何其他服务，社区服务（党群）中心须根据实际情况，将权重适当分配至助老服务、妇女儿童家庭服务或青少年服务当中；表中“其他服务”指根据本社区特殊情况，以居民需求为导向，设计的其他服务项目。</w:t>
      </w:r>
    </w:p>
    <w:p w:rsidR="00630BEA" w:rsidRPr="00680723" w:rsidRDefault="00630BEA" w:rsidP="00630BEA">
      <w:pPr>
        <w:snapToGrid w:val="0"/>
        <w:jc w:val="left"/>
        <w:rPr>
          <w:rFonts w:ascii="仿宋_GB2312" w:eastAsia="仿宋_GB2312" w:hAnsi="Times New Roman" w:cs="宋体"/>
          <w:kern w:val="0"/>
          <w:sz w:val="20"/>
          <w:szCs w:val="20"/>
        </w:rPr>
      </w:pPr>
      <w:r w:rsidRPr="00680723">
        <w:rPr>
          <w:rFonts w:ascii="仿宋_GB2312" w:eastAsia="仿宋_GB2312" w:hAnsi="Times New Roman" w:cs="宋体" w:hint="eastAsia"/>
          <w:kern w:val="0"/>
          <w:sz w:val="20"/>
          <w:szCs w:val="20"/>
        </w:rPr>
        <w:t>3、原则上，各服务量百分数上下浮动不得超过2.5%。</w:t>
      </w:r>
    </w:p>
    <w:p w:rsidR="00630BEA" w:rsidRPr="00680723" w:rsidRDefault="00630BEA" w:rsidP="00630BEA">
      <w:pPr>
        <w:snapToGrid w:val="0"/>
        <w:jc w:val="left"/>
        <w:rPr>
          <w:rFonts w:ascii="仿宋_GB2312" w:eastAsia="仿宋_GB2312" w:hAnsi="Times New Roman" w:cs="宋体"/>
          <w:kern w:val="0"/>
          <w:sz w:val="20"/>
          <w:szCs w:val="20"/>
        </w:rPr>
      </w:pPr>
      <w:r w:rsidRPr="00680723">
        <w:rPr>
          <w:rFonts w:ascii="仿宋_GB2312" w:eastAsia="仿宋_GB2312" w:hAnsi="Times New Roman" w:cs="宋体" w:hint="eastAsia"/>
          <w:kern w:val="0"/>
          <w:sz w:val="20"/>
          <w:szCs w:val="20"/>
        </w:rPr>
        <w:t>4、如社区类型未涵盖在如上分类之内，服务指标量的权重安排请与主管部门及购买方共同协商确定。</w:t>
      </w:r>
    </w:p>
    <w:p w:rsidR="00630BEA" w:rsidRPr="00680723" w:rsidRDefault="00630BEA" w:rsidP="00630BEA">
      <w:pPr>
        <w:spacing w:line="360" w:lineRule="auto"/>
        <w:jc w:val="left"/>
        <w:rPr>
          <w:rFonts w:ascii="仿宋_GB2312" w:eastAsia="仿宋_GB2312" w:hAnsi="Times New Roman" w:cs="宋体"/>
          <w:kern w:val="0"/>
          <w:sz w:val="20"/>
          <w:szCs w:val="20"/>
        </w:rPr>
        <w:sectPr w:rsidR="00630BEA" w:rsidRPr="00680723">
          <w:footerReference w:type="default" r:id="rId9"/>
          <w:pgSz w:w="16838" w:h="11906" w:orient="landscape"/>
          <w:pgMar w:top="1800" w:right="1440" w:bottom="1800" w:left="1440" w:header="851" w:footer="992" w:gutter="0"/>
          <w:cols w:space="720"/>
          <w:titlePg/>
          <w:docGrid w:type="lines" w:linePitch="312"/>
        </w:sectPr>
      </w:pPr>
    </w:p>
    <w:p w:rsidR="00630BEA" w:rsidRPr="00680723" w:rsidRDefault="00630BEA" w:rsidP="00630BEA">
      <w:pPr>
        <w:snapToGrid w:val="0"/>
        <w:spacing w:before="100" w:beforeAutospacing="1"/>
        <w:jc w:val="left"/>
        <w:rPr>
          <w:rFonts w:ascii="仿宋_GB2312" w:eastAsia="仿宋_GB2312" w:hAnsi="Times New Roman" w:cs="宋体"/>
          <w:b/>
          <w:bCs/>
          <w:kern w:val="0"/>
          <w:sz w:val="24"/>
          <w:szCs w:val="24"/>
        </w:rPr>
      </w:pPr>
      <w:r w:rsidRPr="00680723">
        <w:rPr>
          <w:rFonts w:ascii="仿宋_GB2312" w:eastAsia="仿宋_GB2312" w:hAnsi="Times New Roman" w:cs="宋体" w:hint="eastAsia"/>
          <w:b/>
          <w:bCs/>
          <w:kern w:val="0"/>
          <w:sz w:val="24"/>
          <w:szCs w:val="24"/>
        </w:rPr>
        <w:lastRenderedPageBreak/>
        <w:t>表十：</w:t>
      </w:r>
    </w:p>
    <w:p w:rsidR="00630BEA" w:rsidRPr="00680723" w:rsidRDefault="00630BEA" w:rsidP="00630BEA">
      <w:pPr>
        <w:snapToGrid w:val="0"/>
        <w:spacing w:after="100" w:afterAutospacing="1"/>
        <w:jc w:val="center"/>
        <w:rPr>
          <w:rFonts w:ascii="仿宋_GB2312" w:eastAsia="仿宋_GB2312" w:hAnsi="Times New Roman" w:cs="宋体"/>
          <w:b/>
          <w:bCs/>
          <w:kern w:val="0"/>
          <w:sz w:val="24"/>
          <w:szCs w:val="24"/>
        </w:rPr>
      </w:pPr>
      <w:r w:rsidRPr="00680723">
        <w:rPr>
          <w:rFonts w:ascii="仿宋_GB2312" w:eastAsia="仿宋_GB2312" w:hAnsi="Times New Roman" w:cs="宋体" w:hint="eastAsia"/>
          <w:b/>
          <w:bCs/>
          <w:kern w:val="0"/>
          <w:sz w:val="24"/>
          <w:szCs w:val="24"/>
        </w:rPr>
        <w:t>经营性便民利民服务内容建议表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53"/>
        <w:gridCol w:w="2552"/>
        <w:gridCol w:w="3827"/>
      </w:tblGrid>
      <w:tr w:rsidR="00630BEA" w:rsidRPr="00680723" w:rsidTr="00921070">
        <w:trPr>
          <w:trHeight w:val="153"/>
        </w:trPr>
        <w:tc>
          <w:tcPr>
            <w:tcW w:w="1853" w:type="dxa"/>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b/>
                <w:bCs/>
                <w:kern w:val="0"/>
                <w:sz w:val="24"/>
                <w:szCs w:val="24"/>
              </w:rPr>
              <w:t>服务大项</w:t>
            </w:r>
          </w:p>
        </w:tc>
        <w:tc>
          <w:tcPr>
            <w:tcW w:w="2552" w:type="dxa"/>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b/>
                <w:bCs/>
                <w:kern w:val="0"/>
                <w:sz w:val="24"/>
                <w:szCs w:val="24"/>
              </w:rPr>
              <w:t>服务目标</w:t>
            </w:r>
          </w:p>
        </w:tc>
        <w:tc>
          <w:tcPr>
            <w:tcW w:w="3827" w:type="dxa"/>
            <w:vAlign w:val="center"/>
          </w:tcPr>
          <w:p w:rsidR="00630BEA" w:rsidRPr="00680723" w:rsidRDefault="00630BEA" w:rsidP="00921070">
            <w:pPr>
              <w:spacing w:line="360" w:lineRule="auto"/>
              <w:jc w:val="center"/>
              <w:rPr>
                <w:rFonts w:ascii="仿宋_GB2312" w:eastAsia="仿宋_GB2312" w:hAnsi="Calibri" w:cs="宋体"/>
                <w:kern w:val="0"/>
                <w:sz w:val="24"/>
                <w:szCs w:val="24"/>
              </w:rPr>
            </w:pPr>
            <w:r w:rsidRPr="00680723">
              <w:rPr>
                <w:rFonts w:ascii="仿宋_GB2312" w:eastAsia="仿宋_GB2312" w:hAnsi="Times New Roman" w:cs="宋体" w:hint="eastAsia"/>
                <w:b/>
                <w:bCs/>
                <w:kern w:val="0"/>
                <w:sz w:val="24"/>
                <w:szCs w:val="24"/>
              </w:rPr>
              <w:t>服务细项</w:t>
            </w:r>
          </w:p>
        </w:tc>
      </w:tr>
      <w:tr w:rsidR="00630BEA" w:rsidRPr="00680723" w:rsidTr="00921070">
        <w:trPr>
          <w:cantSplit/>
          <w:trHeight w:val="357"/>
        </w:trPr>
        <w:tc>
          <w:tcPr>
            <w:tcW w:w="1853" w:type="dxa"/>
            <w:vMerge w:val="restart"/>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10.1社区学校</w:t>
            </w:r>
          </w:p>
        </w:tc>
        <w:tc>
          <w:tcPr>
            <w:tcW w:w="2552" w:type="dxa"/>
            <w:vMerge w:val="restart"/>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为学龄儿童及青少年、待业或在岗人员提供课业、兴趣、特长、技能等培训或辅导</w:t>
            </w:r>
          </w:p>
        </w:tc>
        <w:tc>
          <w:tcPr>
            <w:tcW w:w="3827" w:type="dxa"/>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10.1.1课业辅导</w:t>
            </w:r>
          </w:p>
        </w:tc>
      </w:tr>
      <w:tr w:rsidR="00630BEA" w:rsidRPr="00680723" w:rsidTr="00921070">
        <w:trPr>
          <w:cantSplit/>
          <w:trHeight w:val="339"/>
        </w:trPr>
        <w:tc>
          <w:tcPr>
            <w:tcW w:w="1853" w:type="dxa"/>
            <w:vMerge/>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552" w:type="dxa"/>
            <w:vMerge/>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827" w:type="dxa"/>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10.1.2寒、暑期培训班</w:t>
            </w:r>
          </w:p>
        </w:tc>
      </w:tr>
      <w:tr w:rsidR="00630BEA" w:rsidRPr="00680723" w:rsidTr="00921070">
        <w:trPr>
          <w:cantSplit/>
          <w:trHeight w:val="117"/>
        </w:trPr>
        <w:tc>
          <w:tcPr>
            <w:tcW w:w="1853" w:type="dxa"/>
            <w:vMerge/>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552" w:type="dxa"/>
            <w:vMerge/>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827" w:type="dxa"/>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10.1.3职业技能培训</w:t>
            </w:r>
          </w:p>
        </w:tc>
      </w:tr>
      <w:tr w:rsidR="00630BEA" w:rsidRPr="00680723" w:rsidTr="00921070">
        <w:trPr>
          <w:cantSplit/>
          <w:trHeight w:val="193"/>
        </w:trPr>
        <w:tc>
          <w:tcPr>
            <w:tcW w:w="1853" w:type="dxa"/>
            <w:vMerge w:val="restart"/>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10.2家政、托管与照料服务</w:t>
            </w:r>
          </w:p>
        </w:tc>
        <w:tc>
          <w:tcPr>
            <w:tcW w:w="2552" w:type="dxa"/>
            <w:vMerge w:val="restart"/>
            <w:vAlign w:val="center"/>
          </w:tcPr>
          <w:p w:rsidR="00630BEA" w:rsidRPr="00680723" w:rsidRDefault="00630BEA" w:rsidP="00921070">
            <w:pPr>
              <w:spacing w:line="360" w:lineRule="auto"/>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为家庭提供日常家务处理、保洁、托管、护理等服务</w:t>
            </w:r>
          </w:p>
        </w:tc>
        <w:tc>
          <w:tcPr>
            <w:tcW w:w="3827" w:type="dxa"/>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10.2.1家务服务</w:t>
            </w:r>
          </w:p>
        </w:tc>
      </w:tr>
      <w:tr w:rsidR="00630BEA" w:rsidRPr="00680723" w:rsidTr="00921070">
        <w:trPr>
          <w:cantSplit/>
          <w:trHeight w:val="255"/>
        </w:trPr>
        <w:tc>
          <w:tcPr>
            <w:tcW w:w="1853" w:type="dxa"/>
            <w:vMerge/>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552" w:type="dxa"/>
            <w:vMerge/>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827" w:type="dxa"/>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10.2.2日托、午托、晚托</w:t>
            </w:r>
          </w:p>
        </w:tc>
      </w:tr>
      <w:tr w:rsidR="00630BEA" w:rsidRPr="00680723" w:rsidTr="00921070">
        <w:trPr>
          <w:cantSplit/>
          <w:trHeight w:val="303"/>
        </w:trPr>
        <w:tc>
          <w:tcPr>
            <w:tcW w:w="1853" w:type="dxa"/>
            <w:vMerge/>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552" w:type="dxa"/>
            <w:vMerge/>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827" w:type="dxa"/>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10.2.3社区食堂</w:t>
            </w:r>
          </w:p>
        </w:tc>
      </w:tr>
      <w:tr w:rsidR="00630BEA" w:rsidRPr="00680723" w:rsidTr="00921070">
        <w:trPr>
          <w:cantSplit/>
          <w:trHeight w:val="303"/>
        </w:trPr>
        <w:tc>
          <w:tcPr>
            <w:tcW w:w="1853" w:type="dxa"/>
            <w:vMerge/>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552" w:type="dxa"/>
            <w:vMerge/>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827" w:type="dxa"/>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10.2.4物流配送</w:t>
            </w:r>
          </w:p>
        </w:tc>
      </w:tr>
      <w:tr w:rsidR="00630BEA" w:rsidRPr="00680723" w:rsidTr="00921070">
        <w:trPr>
          <w:cantSplit/>
          <w:trHeight w:val="223"/>
        </w:trPr>
        <w:tc>
          <w:tcPr>
            <w:tcW w:w="1853" w:type="dxa"/>
            <w:vMerge/>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552" w:type="dxa"/>
            <w:vMerge/>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827" w:type="dxa"/>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10.2.5护理照料</w:t>
            </w:r>
          </w:p>
        </w:tc>
      </w:tr>
      <w:tr w:rsidR="00630BEA" w:rsidRPr="00680723" w:rsidTr="00921070">
        <w:trPr>
          <w:cantSplit/>
          <w:trHeight w:val="221"/>
        </w:trPr>
        <w:tc>
          <w:tcPr>
            <w:tcW w:w="1853" w:type="dxa"/>
            <w:vMerge w:val="restart"/>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10.3便民生活服务</w:t>
            </w:r>
          </w:p>
        </w:tc>
        <w:tc>
          <w:tcPr>
            <w:tcW w:w="2552" w:type="dxa"/>
            <w:vMerge w:val="restart"/>
            <w:vAlign w:val="center"/>
          </w:tcPr>
          <w:p w:rsidR="00630BEA" w:rsidRPr="00680723" w:rsidRDefault="00630BEA" w:rsidP="00921070">
            <w:pPr>
              <w:spacing w:line="360" w:lineRule="auto"/>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为方便居民日常生活而开展的各类服务</w:t>
            </w:r>
          </w:p>
        </w:tc>
        <w:tc>
          <w:tcPr>
            <w:tcW w:w="3827" w:type="dxa"/>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10.3.1福利彩票销售</w:t>
            </w:r>
          </w:p>
        </w:tc>
      </w:tr>
      <w:tr w:rsidR="00630BEA" w:rsidRPr="00680723" w:rsidTr="00921070">
        <w:trPr>
          <w:cantSplit/>
          <w:trHeight w:val="283"/>
        </w:trPr>
        <w:tc>
          <w:tcPr>
            <w:tcW w:w="1853" w:type="dxa"/>
            <w:vMerge/>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552" w:type="dxa"/>
            <w:vMerge/>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827" w:type="dxa"/>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10.3.2自行车修理</w:t>
            </w:r>
          </w:p>
        </w:tc>
      </w:tr>
      <w:tr w:rsidR="00630BEA" w:rsidRPr="00680723" w:rsidTr="00921070">
        <w:trPr>
          <w:cantSplit/>
          <w:trHeight w:val="283"/>
        </w:trPr>
        <w:tc>
          <w:tcPr>
            <w:tcW w:w="1853" w:type="dxa"/>
            <w:vMerge/>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552" w:type="dxa"/>
            <w:vMerge/>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827" w:type="dxa"/>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10.3.3修鞋、配匙</w:t>
            </w:r>
          </w:p>
        </w:tc>
      </w:tr>
      <w:tr w:rsidR="00630BEA" w:rsidRPr="00680723" w:rsidTr="00921070">
        <w:trPr>
          <w:cantSplit/>
          <w:trHeight w:val="283"/>
        </w:trPr>
        <w:tc>
          <w:tcPr>
            <w:tcW w:w="1853" w:type="dxa"/>
            <w:vMerge/>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552" w:type="dxa"/>
            <w:vMerge/>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827" w:type="dxa"/>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10.3.4缝纫、洗衣</w:t>
            </w:r>
          </w:p>
        </w:tc>
      </w:tr>
      <w:tr w:rsidR="00630BEA" w:rsidRPr="00680723" w:rsidTr="00921070">
        <w:trPr>
          <w:cantSplit/>
          <w:trHeight w:val="283"/>
        </w:trPr>
        <w:tc>
          <w:tcPr>
            <w:tcW w:w="1853" w:type="dxa"/>
            <w:vMerge/>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552" w:type="dxa"/>
            <w:vMerge/>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827" w:type="dxa"/>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10.3.5打印、复印</w:t>
            </w:r>
          </w:p>
        </w:tc>
      </w:tr>
      <w:tr w:rsidR="00630BEA" w:rsidRPr="00680723" w:rsidTr="00921070">
        <w:trPr>
          <w:cantSplit/>
          <w:trHeight w:val="283"/>
        </w:trPr>
        <w:tc>
          <w:tcPr>
            <w:tcW w:w="1853" w:type="dxa"/>
            <w:vMerge/>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2552" w:type="dxa"/>
            <w:vMerge/>
            <w:vAlign w:val="center"/>
          </w:tcPr>
          <w:p w:rsidR="00630BEA" w:rsidRPr="00680723" w:rsidRDefault="00630BEA" w:rsidP="00921070">
            <w:pPr>
              <w:spacing w:line="360" w:lineRule="auto"/>
              <w:jc w:val="left"/>
              <w:rPr>
                <w:rFonts w:ascii="仿宋_GB2312" w:eastAsia="仿宋_GB2312" w:hAnsi="Calibri" w:cs="宋体"/>
                <w:kern w:val="0"/>
                <w:sz w:val="24"/>
                <w:szCs w:val="24"/>
              </w:rPr>
            </w:pPr>
          </w:p>
        </w:tc>
        <w:tc>
          <w:tcPr>
            <w:tcW w:w="3827" w:type="dxa"/>
            <w:vAlign w:val="center"/>
          </w:tcPr>
          <w:p w:rsidR="00630BEA" w:rsidRPr="00680723" w:rsidRDefault="00630BEA" w:rsidP="00921070">
            <w:pPr>
              <w:spacing w:line="360" w:lineRule="auto"/>
              <w:jc w:val="left"/>
              <w:rPr>
                <w:rFonts w:ascii="仿宋_GB2312" w:eastAsia="仿宋_GB2312" w:hAnsi="Calibri" w:cs="宋体"/>
                <w:kern w:val="0"/>
                <w:sz w:val="24"/>
                <w:szCs w:val="24"/>
              </w:rPr>
            </w:pPr>
            <w:r w:rsidRPr="00680723">
              <w:rPr>
                <w:rFonts w:ascii="仿宋_GB2312" w:eastAsia="仿宋_GB2312" w:hAnsi="Times New Roman" w:cs="宋体" w:hint="eastAsia"/>
                <w:kern w:val="0"/>
                <w:sz w:val="24"/>
                <w:szCs w:val="24"/>
              </w:rPr>
              <w:t>10.3.6电器维修</w:t>
            </w:r>
          </w:p>
        </w:tc>
      </w:tr>
    </w:tbl>
    <w:p w:rsidR="00E378D0" w:rsidRPr="00630BEA" w:rsidRDefault="00E378D0" w:rsidP="00630BEA">
      <w:pPr>
        <w:jc w:val="left"/>
        <w:rPr>
          <w:rFonts w:ascii="仿宋_GB2312" w:eastAsia="仿宋_GB2312" w:hAnsi="Times New Roman" w:cs="Times New Roman"/>
          <w:kern w:val="0"/>
          <w:sz w:val="32"/>
          <w:szCs w:val="32"/>
        </w:rPr>
      </w:pPr>
      <w:bookmarkStart w:id="0" w:name="_GoBack"/>
      <w:bookmarkEnd w:id="0"/>
    </w:p>
    <w:sectPr w:rsidR="00E378D0" w:rsidRPr="00630B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7E4" w:rsidRDefault="007117E4" w:rsidP="00630BEA">
      <w:pPr>
        <w:spacing w:line="240" w:lineRule="auto"/>
      </w:pPr>
      <w:r>
        <w:separator/>
      </w:r>
    </w:p>
  </w:endnote>
  <w:endnote w:type="continuationSeparator" w:id="0">
    <w:p w:rsidR="007117E4" w:rsidRDefault="007117E4" w:rsidP="00630B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BEA" w:rsidRDefault="00630BEA">
    <w:pPr>
      <w:pStyle w:val="a4"/>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w:instrText>
    </w:r>
    <w:r>
      <w:rPr>
        <w:rFonts w:ascii="宋体" w:eastAsia="宋体" w:hAnsi="宋体"/>
        <w:sz w:val="28"/>
        <w:szCs w:val="28"/>
      </w:rPr>
      <w:fldChar w:fldCharType="separate"/>
    </w:r>
    <w:r>
      <w:rPr>
        <w:rFonts w:ascii="宋体" w:eastAsia="宋体" w:hAnsi="宋体"/>
        <w:sz w:val="28"/>
        <w:szCs w:val="28"/>
      </w:rPr>
      <w:t>18</w:t>
    </w:r>
    <w:r>
      <w:rPr>
        <w:rFonts w:ascii="宋体" w:eastAsia="宋体" w:hAnsi="宋体"/>
        <w:sz w:val="28"/>
        <w:szCs w:val="28"/>
      </w:rPr>
      <w:fldChar w:fldCharType="end"/>
    </w:r>
    <w:r>
      <w:rPr>
        <w:rFonts w:ascii="宋体" w:eastAsia="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BEA" w:rsidRDefault="00630BEA">
    <w:pPr>
      <w:pStyle w:val="a4"/>
      <w:jc w:val="right"/>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w:instrText>
    </w:r>
    <w:r>
      <w:rPr>
        <w:rFonts w:ascii="宋体" w:eastAsia="宋体" w:hAnsi="宋体"/>
        <w:sz w:val="28"/>
        <w:szCs w:val="28"/>
      </w:rPr>
      <w:fldChar w:fldCharType="separate"/>
    </w:r>
    <w:r>
      <w:rPr>
        <w:rFonts w:ascii="宋体" w:eastAsia="宋体" w:hAnsi="宋体"/>
        <w:noProof/>
        <w:sz w:val="28"/>
        <w:szCs w:val="28"/>
      </w:rPr>
      <w:t>18</w:t>
    </w:r>
    <w:r>
      <w:rPr>
        <w:rFonts w:ascii="宋体" w:eastAsia="宋体" w:hAnsi="宋体"/>
        <w:sz w:val="28"/>
        <w:szCs w:val="28"/>
      </w:rPr>
      <w:fldChar w:fldCharType="end"/>
    </w:r>
    <w:r>
      <w:rPr>
        <w:rFonts w:ascii="宋体" w:eastAsia="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BEA" w:rsidRDefault="00630BEA">
    <w:pPr>
      <w:pStyle w:val="a4"/>
      <w:jc w:val="right"/>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w:instrText>
    </w:r>
    <w:r>
      <w:rPr>
        <w:rFonts w:ascii="宋体" w:eastAsia="宋体" w:hAnsi="宋体"/>
        <w:sz w:val="28"/>
        <w:szCs w:val="28"/>
      </w:rPr>
      <w:fldChar w:fldCharType="separate"/>
    </w:r>
    <w:r>
      <w:rPr>
        <w:rFonts w:ascii="宋体" w:eastAsia="宋体" w:hAnsi="宋体"/>
        <w:noProof/>
        <w:sz w:val="28"/>
        <w:szCs w:val="28"/>
      </w:rPr>
      <w:t>22</w:t>
    </w:r>
    <w:r>
      <w:rPr>
        <w:rFonts w:ascii="宋体" w:eastAsia="宋体" w:hAnsi="宋体"/>
        <w:sz w:val="28"/>
        <w:szCs w:val="28"/>
      </w:rPr>
      <w:fldChar w:fldCharType="end"/>
    </w:r>
    <w:r>
      <w:rPr>
        <w:rFonts w:ascii="宋体" w:eastAsia="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7E4" w:rsidRDefault="007117E4" w:rsidP="00630BEA">
      <w:pPr>
        <w:spacing w:line="240" w:lineRule="auto"/>
      </w:pPr>
      <w:r>
        <w:separator/>
      </w:r>
    </w:p>
  </w:footnote>
  <w:footnote w:type="continuationSeparator" w:id="0">
    <w:p w:rsidR="007117E4" w:rsidRDefault="007117E4" w:rsidP="00630BE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AE0"/>
    <w:rsid w:val="00630BEA"/>
    <w:rsid w:val="007117E4"/>
    <w:rsid w:val="00AC3AE0"/>
    <w:rsid w:val="00E37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BEA"/>
    <w:pPr>
      <w:spacing w:line="56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30BEA"/>
    <w:pPr>
      <w:widowControl w:val="0"/>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rsid w:val="00630BEA"/>
    <w:rPr>
      <w:sz w:val="18"/>
      <w:szCs w:val="18"/>
    </w:rPr>
  </w:style>
  <w:style w:type="paragraph" w:styleId="a4">
    <w:name w:val="footer"/>
    <w:basedOn w:val="a"/>
    <w:link w:val="Char0"/>
    <w:unhideWhenUsed/>
    <w:rsid w:val="00630BEA"/>
    <w:pPr>
      <w:widowControl w:val="0"/>
      <w:tabs>
        <w:tab w:val="center" w:pos="4153"/>
        <w:tab w:val="right" w:pos="8306"/>
      </w:tabs>
      <w:snapToGrid w:val="0"/>
      <w:spacing w:line="240" w:lineRule="auto"/>
      <w:jc w:val="left"/>
    </w:pPr>
    <w:rPr>
      <w:sz w:val="18"/>
      <w:szCs w:val="18"/>
    </w:rPr>
  </w:style>
  <w:style w:type="character" w:customStyle="1" w:styleId="Char0">
    <w:name w:val="页脚 Char"/>
    <w:basedOn w:val="a0"/>
    <w:link w:val="a4"/>
    <w:rsid w:val="00630BEA"/>
    <w:rPr>
      <w:sz w:val="18"/>
      <w:szCs w:val="18"/>
    </w:rPr>
  </w:style>
  <w:style w:type="paragraph" w:styleId="a5">
    <w:name w:val="Date"/>
    <w:basedOn w:val="a"/>
    <w:next w:val="a"/>
    <w:link w:val="Char1"/>
    <w:uiPriority w:val="99"/>
    <w:semiHidden/>
    <w:unhideWhenUsed/>
    <w:rsid w:val="00630BEA"/>
    <w:pPr>
      <w:ind w:leftChars="2500" w:left="100"/>
    </w:pPr>
  </w:style>
  <w:style w:type="character" w:customStyle="1" w:styleId="Char1">
    <w:name w:val="日期 Char"/>
    <w:basedOn w:val="a0"/>
    <w:link w:val="a5"/>
    <w:uiPriority w:val="99"/>
    <w:semiHidden/>
    <w:rsid w:val="00630BEA"/>
  </w:style>
  <w:style w:type="numbering" w:customStyle="1" w:styleId="1">
    <w:name w:val="无列表1"/>
    <w:next w:val="a2"/>
    <w:uiPriority w:val="99"/>
    <w:semiHidden/>
    <w:unhideWhenUsed/>
    <w:rsid w:val="00630BEA"/>
  </w:style>
  <w:style w:type="character" w:customStyle="1" w:styleId="Char10">
    <w:name w:val="页眉 Char1"/>
    <w:basedOn w:val="a0"/>
    <w:uiPriority w:val="99"/>
    <w:semiHidden/>
    <w:rsid w:val="00630BEA"/>
    <w:rPr>
      <w:sz w:val="18"/>
      <w:szCs w:val="18"/>
    </w:rPr>
  </w:style>
  <w:style w:type="character" w:customStyle="1" w:styleId="Char11">
    <w:name w:val="页脚 Char1"/>
    <w:basedOn w:val="a0"/>
    <w:uiPriority w:val="99"/>
    <w:semiHidden/>
    <w:rsid w:val="00630BEA"/>
    <w:rPr>
      <w:sz w:val="18"/>
      <w:szCs w:val="18"/>
    </w:rPr>
  </w:style>
  <w:style w:type="character" w:styleId="a6">
    <w:name w:val="annotation reference"/>
    <w:basedOn w:val="a0"/>
    <w:semiHidden/>
    <w:unhideWhenUsed/>
    <w:rsid w:val="00630BEA"/>
    <w:rPr>
      <w:sz w:val="21"/>
      <w:szCs w:val="21"/>
    </w:rPr>
  </w:style>
  <w:style w:type="paragraph" w:styleId="a7">
    <w:name w:val="annotation text"/>
    <w:basedOn w:val="a"/>
    <w:link w:val="Char2"/>
    <w:semiHidden/>
    <w:unhideWhenUsed/>
    <w:rsid w:val="00630BEA"/>
    <w:pPr>
      <w:spacing w:line="360" w:lineRule="auto"/>
      <w:jc w:val="left"/>
    </w:pPr>
    <w:rPr>
      <w:rFonts w:ascii="Times New Roman" w:eastAsia="宋体" w:hAnsi="Times New Roman" w:cs="Times New Roman"/>
      <w:kern w:val="0"/>
      <w:sz w:val="24"/>
      <w:szCs w:val="24"/>
    </w:rPr>
  </w:style>
  <w:style w:type="character" w:customStyle="1" w:styleId="Char2">
    <w:name w:val="批注文字 Char"/>
    <w:basedOn w:val="a0"/>
    <w:link w:val="a7"/>
    <w:semiHidden/>
    <w:rsid w:val="00630BEA"/>
    <w:rPr>
      <w:rFonts w:ascii="Times New Roman" w:eastAsia="宋体" w:hAnsi="Times New Roman" w:cs="Times New Roman"/>
      <w:kern w:val="0"/>
      <w:sz w:val="24"/>
      <w:szCs w:val="24"/>
    </w:rPr>
  </w:style>
  <w:style w:type="paragraph" w:styleId="a8">
    <w:name w:val="annotation subject"/>
    <w:basedOn w:val="a7"/>
    <w:next w:val="a7"/>
    <w:link w:val="Char3"/>
    <w:semiHidden/>
    <w:unhideWhenUsed/>
    <w:rsid w:val="00630BEA"/>
    <w:rPr>
      <w:b/>
      <w:bCs/>
    </w:rPr>
  </w:style>
  <w:style w:type="character" w:customStyle="1" w:styleId="Char3">
    <w:name w:val="批注主题 Char"/>
    <w:basedOn w:val="Char2"/>
    <w:link w:val="a8"/>
    <w:semiHidden/>
    <w:rsid w:val="00630BEA"/>
    <w:rPr>
      <w:rFonts w:ascii="Times New Roman" w:eastAsia="宋体" w:hAnsi="Times New Roman" w:cs="Times New Roman"/>
      <w:b/>
      <w:bCs/>
      <w:kern w:val="0"/>
      <w:sz w:val="24"/>
      <w:szCs w:val="24"/>
    </w:rPr>
  </w:style>
  <w:style w:type="paragraph" w:styleId="a9">
    <w:name w:val="Balloon Text"/>
    <w:basedOn w:val="a"/>
    <w:link w:val="Char4"/>
    <w:semiHidden/>
    <w:unhideWhenUsed/>
    <w:rsid w:val="00630BEA"/>
    <w:pPr>
      <w:spacing w:line="240" w:lineRule="auto"/>
      <w:jc w:val="left"/>
    </w:pPr>
    <w:rPr>
      <w:rFonts w:ascii="Times New Roman" w:eastAsia="宋体" w:hAnsi="Times New Roman" w:cs="Times New Roman"/>
      <w:kern w:val="0"/>
      <w:sz w:val="18"/>
      <w:szCs w:val="18"/>
    </w:rPr>
  </w:style>
  <w:style w:type="character" w:customStyle="1" w:styleId="Char4">
    <w:name w:val="批注框文本 Char"/>
    <w:basedOn w:val="a0"/>
    <w:link w:val="a9"/>
    <w:semiHidden/>
    <w:rsid w:val="00630BEA"/>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BEA"/>
    <w:pPr>
      <w:spacing w:line="56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30BEA"/>
    <w:pPr>
      <w:widowControl w:val="0"/>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rsid w:val="00630BEA"/>
    <w:rPr>
      <w:sz w:val="18"/>
      <w:szCs w:val="18"/>
    </w:rPr>
  </w:style>
  <w:style w:type="paragraph" w:styleId="a4">
    <w:name w:val="footer"/>
    <w:basedOn w:val="a"/>
    <w:link w:val="Char0"/>
    <w:unhideWhenUsed/>
    <w:rsid w:val="00630BEA"/>
    <w:pPr>
      <w:widowControl w:val="0"/>
      <w:tabs>
        <w:tab w:val="center" w:pos="4153"/>
        <w:tab w:val="right" w:pos="8306"/>
      </w:tabs>
      <w:snapToGrid w:val="0"/>
      <w:spacing w:line="240" w:lineRule="auto"/>
      <w:jc w:val="left"/>
    </w:pPr>
    <w:rPr>
      <w:sz w:val="18"/>
      <w:szCs w:val="18"/>
    </w:rPr>
  </w:style>
  <w:style w:type="character" w:customStyle="1" w:styleId="Char0">
    <w:name w:val="页脚 Char"/>
    <w:basedOn w:val="a0"/>
    <w:link w:val="a4"/>
    <w:rsid w:val="00630BEA"/>
    <w:rPr>
      <w:sz w:val="18"/>
      <w:szCs w:val="18"/>
    </w:rPr>
  </w:style>
  <w:style w:type="paragraph" w:styleId="a5">
    <w:name w:val="Date"/>
    <w:basedOn w:val="a"/>
    <w:next w:val="a"/>
    <w:link w:val="Char1"/>
    <w:uiPriority w:val="99"/>
    <w:semiHidden/>
    <w:unhideWhenUsed/>
    <w:rsid w:val="00630BEA"/>
    <w:pPr>
      <w:ind w:leftChars="2500" w:left="100"/>
    </w:pPr>
  </w:style>
  <w:style w:type="character" w:customStyle="1" w:styleId="Char1">
    <w:name w:val="日期 Char"/>
    <w:basedOn w:val="a0"/>
    <w:link w:val="a5"/>
    <w:uiPriority w:val="99"/>
    <w:semiHidden/>
    <w:rsid w:val="00630BEA"/>
  </w:style>
  <w:style w:type="numbering" w:customStyle="1" w:styleId="1">
    <w:name w:val="无列表1"/>
    <w:next w:val="a2"/>
    <w:uiPriority w:val="99"/>
    <w:semiHidden/>
    <w:unhideWhenUsed/>
    <w:rsid w:val="00630BEA"/>
  </w:style>
  <w:style w:type="character" w:customStyle="1" w:styleId="Char10">
    <w:name w:val="页眉 Char1"/>
    <w:basedOn w:val="a0"/>
    <w:uiPriority w:val="99"/>
    <w:semiHidden/>
    <w:rsid w:val="00630BEA"/>
    <w:rPr>
      <w:sz w:val="18"/>
      <w:szCs w:val="18"/>
    </w:rPr>
  </w:style>
  <w:style w:type="character" w:customStyle="1" w:styleId="Char11">
    <w:name w:val="页脚 Char1"/>
    <w:basedOn w:val="a0"/>
    <w:uiPriority w:val="99"/>
    <w:semiHidden/>
    <w:rsid w:val="00630BEA"/>
    <w:rPr>
      <w:sz w:val="18"/>
      <w:szCs w:val="18"/>
    </w:rPr>
  </w:style>
  <w:style w:type="character" w:styleId="a6">
    <w:name w:val="annotation reference"/>
    <w:basedOn w:val="a0"/>
    <w:semiHidden/>
    <w:unhideWhenUsed/>
    <w:rsid w:val="00630BEA"/>
    <w:rPr>
      <w:sz w:val="21"/>
      <w:szCs w:val="21"/>
    </w:rPr>
  </w:style>
  <w:style w:type="paragraph" w:styleId="a7">
    <w:name w:val="annotation text"/>
    <w:basedOn w:val="a"/>
    <w:link w:val="Char2"/>
    <w:semiHidden/>
    <w:unhideWhenUsed/>
    <w:rsid w:val="00630BEA"/>
    <w:pPr>
      <w:spacing w:line="360" w:lineRule="auto"/>
      <w:jc w:val="left"/>
    </w:pPr>
    <w:rPr>
      <w:rFonts w:ascii="Times New Roman" w:eastAsia="宋体" w:hAnsi="Times New Roman" w:cs="Times New Roman"/>
      <w:kern w:val="0"/>
      <w:sz w:val="24"/>
      <w:szCs w:val="24"/>
    </w:rPr>
  </w:style>
  <w:style w:type="character" w:customStyle="1" w:styleId="Char2">
    <w:name w:val="批注文字 Char"/>
    <w:basedOn w:val="a0"/>
    <w:link w:val="a7"/>
    <w:semiHidden/>
    <w:rsid w:val="00630BEA"/>
    <w:rPr>
      <w:rFonts w:ascii="Times New Roman" w:eastAsia="宋体" w:hAnsi="Times New Roman" w:cs="Times New Roman"/>
      <w:kern w:val="0"/>
      <w:sz w:val="24"/>
      <w:szCs w:val="24"/>
    </w:rPr>
  </w:style>
  <w:style w:type="paragraph" w:styleId="a8">
    <w:name w:val="annotation subject"/>
    <w:basedOn w:val="a7"/>
    <w:next w:val="a7"/>
    <w:link w:val="Char3"/>
    <w:semiHidden/>
    <w:unhideWhenUsed/>
    <w:rsid w:val="00630BEA"/>
    <w:rPr>
      <w:b/>
      <w:bCs/>
    </w:rPr>
  </w:style>
  <w:style w:type="character" w:customStyle="1" w:styleId="Char3">
    <w:name w:val="批注主题 Char"/>
    <w:basedOn w:val="Char2"/>
    <w:link w:val="a8"/>
    <w:semiHidden/>
    <w:rsid w:val="00630BEA"/>
    <w:rPr>
      <w:rFonts w:ascii="Times New Roman" w:eastAsia="宋体" w:hAnsi="Times New Roman" w:cs="Times New Roman"/>
      <w:b/>
      <w:bCs/>
      <w:kern w:val="0"/>
      <w:sz w:val="24"/>
      <w:szCs w:val="24"/>
    </w:rPr>
  </w:style>
  <w:style w:type="paragraph" w:styleId="a9">
    <w:name w:val="Balloon Text"/>
    <w:basedOn w:val="a"/>
    <w:link w:val="Char4"/>
    <w:semiHidden/>
    <w:unhideWhenUsed/>
    <w:rsid w:val="00630BEA"/>
    <w:pPr>
      <w:spacing w:line="240" w:lineRule="auto"/>
      <w:jc w:val="left"/>
    </w:pPr>
    <w:rPr>
      <w:rFonts w:ascii="Times New Roman" w:eastAsia="宋体" w:hAnsi="Times New Roman" w:cs="Times New Roman"/>
      <w:kern w:val="0"/>
      <w:sz w:val="18"/>
      <w:szCs w:val="18"/>
    </w:rPr>
  </w:style>
  <w:style w:type="character" w:customStyle="1" w:styleId="Char4">
    <w:name w:val="批注框文本 Char"/>
    <w:basedOn w:val="a0"/>
    <w:link w:val="a9"/>
    <w:semiHidden/>
    <w:rsid w:val="00630BEA"/>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1669</Words>
  <Characters>9518</Characters>
  <Application>Microsoft Office Word</Application>
  <DocSecurity>0</DocSecurity>
  <Lines>79</Lines>
  <Paragraphs>22</Paragraphs>
  <ScaleCrop>false</ScaleCrop>
  <Company>SkyUN.Org</Company>
  <LinksUpToDate>false</LinksUpToDate>
  <CharactersWithSpaces>11165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向木杨</dc:creator>
  <cp:keywords/>
  <dc:description/>
  <cp:lastModifiedBy>向木杨</cp:lastModifiedBy>
  <cp:revision>2</cp:revision>
  <dcterms:created xsi:type="dcterms:W3CDTF">2015-07-03T04:44:00Z</dcterms:created>
  <dcterms:modified xsi:type="dcterms:W3CDTF">2015-07-03T04:44:00Z</dcterms:modified>
</cp:coreProperties>
</file>