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65" w:rsidRPr="00F4046F" w:rsidRDefault="007E56D4" w:rsidP="007E56D4">
      <w:pPr>
        <w:jc w:val="center"/>
        <w:rPr>
          <w:rFonts w:ascii="方正小标宋简体" w:eastAsia="方正小标宋简体"/>
          <w:sz w:val="44"/>
          <w:szCs w:val="44"/>
        </w:rPr>
      </w:pPr>
      <w:r w:rsidRPr="00F4046F">
        <w:rPr>
          <w:rFonts w:ascii="方正小标宋简体" w:eastAsia="方正小标宋简体" w:hint="eastAsia"/>
          <w:sz w:val="44"/>
          <w:szCs w:val="44"/>
        </w:rPr>
        <w:t>关于征求《2015年度社会工作服务机构绩效评估标准（征求意见稿）》及其操作办法的通知</w:t>
      </w:r>
    </w:p>
    <w:p w:rsidR="007E56D4" w:rsidRDefault="007E56D4"/>
    <w:p w:rsidR="007E56D4" w:rsidRPr="007E56D4" w:rsidRDefault="007E56D4">
      <w:pPr>
        <w:rPr>
          <w:rFonts w:ascii="仿宋_GB2312" w:eastAsia="仿宋_GB2312"/>
          <w:sz w:val="32"/>
          <w:szCs w:val="32"/>
        </w:rPr>
      </w:pPr>
      <w:r w:rsidRPr="007E56D4">
        <w:rPr>
          <w:rFonts w:ascii="仿宋_GB2312" w:eastAsia="仿宋_GB2312" w:hint="eastAsia"/>
          <w:sz w:val="32"/>
          <w:szCs w:val="32"/>
        </w:rPr>
        <w:t>各社工服务机构：</w:t>
      </w:r>
    </w:p>
    <w:p w:rsidR="007E56D4" w:rsidRPr="007E56D4" w:rsidRDefault="007E56D4" w:rsidP="007E56D4">
      <w:pPr>
        <w:spacing w:line="700" w:lineRule="exact"/>
        <w:ind w:firstLine="540"/>
        <w:jc w:val="left"/>
        <w:rPr>
          <w:rFonts w:ascii="仿宋_GB2312" w:eastAsia="仿宋_GB2312"/>
          <w:sz w:val="32"/>
          <w:szCs w:val="32"/>
        </w:rPr>
      </w:pPr>
      <w:r>
        <w:rPr>
          <w:rFonts w:ascii="仿宋_GB2312" w:eastAsia="仿宋_GB2312" w:hint="eastAsia"/>
          <w:sz w:val="32"/>
          <w:szCs w:val="32"/>
        </w:rPr>
        <w:t xml:space="preserve"> </w:t>
      </w:r>
      <w:r w:rsidRPr="007E56D4">
        <w:rPr>
          <w:rFonts w:ascii="仿宋_GB2312" w:eastAsia="仿宋_GB2312" w:hint="eastAsia"/>
          <w:sz w:val="32"/>
          <w:szCs w:val="32"/>
        </w:rPr>
        <w:t>为</w:t>
      </w:r>
      <w:r w:rsidR="00F4046F">
        <w:rPr>
          <w:rFonts w:ascii="仿宋_GB2312" w:eastAsia="仿宋_GB2312" w:hint="eastAsia"/>
          <w:sz w:val="32"/>
          <w:szCs w:val="32"/>
        </w:rPr>
        <w:t>广泛征求各参评单位的意见，确保本年度</w:t>
      </w:r>
      <w:r w:rsidRPr="007E56D4">
        <w:rPr>
          <w:rFonts w:ascii="仿宋_GB2312" w:eastAsia="仿宋_GB2312" w:hint="eastAsia"/>
          <w:sz w:val="32"/>
          <w:szCs w:val="32"/>
        </w:rPr>
        <w:t>社工机构评估标准及其操作办法的科学性与适切性，现将征求意见稿及其操作办法发给你们，请各社工机构务必重视，并认真研究，如有修订意见请于2015年1</w:t>
      </w:r>
      <w:r>
        <w:rPr>
          <w:rFonts w:ascii="仿宋_GB2312" w:eastAsia="仿宋_GB2312" w:hint="eastAsia"/>
          <w:sz w:val="32"/>
          <w:szCs w:val="32"/>
        </w:rPr>
        <w:t>2</w:t>
      </w:r>
      <w:r w:rsidRPr="007E56D4">
        <w:rPr>
          <w:rFonts w:ascii="仿宋_GB2312" w:eastAsia="仿宋_GB2312" w:hint="eastAsia"/>
          <w:sz w:val="32"/>
          <w:szCs w:val="32"/>
        </w:rPr>
        <w:t>月1</w:t>
      </w:r>
      <w:r>
        <w:rPr>
          <w:rFonts w:ascii="仿宋_GB2312" w:eastAsia="仿宋_GB2312" w:hint="eastAsia"/>
          <w:sz w:val="32"/>
          <w:szCs w:val="32"/>
        </w:rPr>
        <w:t>1</w:t>
      </w:r>
      <w:r w:rsidRPr="007E56D4">
        <w:rPr>
          <w:rFonts w:ascii="仿宋_GB2312" w:eastAsia="仿宋_GB2312" w:hint="eastAsia"/>
          <w:sz w:val="32"/>
          <w:szCs w:val="32"/>
        </w:rPr>
        <w:t>日17:00前将意见电子版（word文档格式）发送到</w:t>
      </w:r>
      <w:r w:rsidR="00684E3C" w:rsidRPr="00684E3C">
        <w:rPr>
          <w:rFonts w:ascii="仿宋_GB2312" w:eastAsia="仿宋_GB2312" w:hAnsi="仿宋_GB2312" w:cs="仿宋_GB2312"/>
          <w:color w:val="000000"/>
          <w:sz w:val="32"/>
          <w:szCs w:val="32"/>
        </w:rPr>
        <w:t>sgc@szmz.sz.gov.cn</w:t>
      </w:r>
      <w:r w:rsidR="00F4046F" w:rsidRPr="00F4046F">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邮箱</w:t>
      </w:r>
      <w:r w:rsidRPr="007E56D4">
        <w:rPr>
          <w:rFonts w:ascii="仿宋_GB2312" w:eastAsia="仿宋_GB2312" w:hint="eastAsia"/>
          <w:sz w:val="32"/>
          <w:szCs w:val="32"/>
        </w:rPr>
        <w:t>，逾期将不予受理。</w:t>
      </w:r>
    </w:p>
    <w:p w:rsidR="00A875E6" w:rsidRDefault="008B5C7B" w:rsidP="00A875E6">
      <w:pPr>
        <w:rPr>
          <w:rFonts w:ascii="仿宋_GB2312" w:eastAsia="仿宋_GB2312"/>
          <w:sz w:val="32"/>
          <w:szCs w:val="32"/>
        </w:rPr>
      </w:pPr>
      <w:r>
        <w:rPr>
          <w:rFonts w:ascii="仿宋_GB2312" w:eastAsia="仿宋_GB2312" w:hint="eastAsia"/>
          <w:sz w:val="32"/>
          <w:szCs w:val="32"/>
        </w:rPr>
        <w:t xml:space="preserve">    </w:t>
      </w:r>
      <w:r w:rsidR="007E56D4" w:rsidRPr="007E56D4">
        <w:rPr>
          <w:rFonts w:ascii="仿宋_GB2312" w:eastAsia="仿宋_GB2312" w:hint="eastAsia"/>
          <w:sz w:val="32"/>
          <w:szCs w:val="32"/>
        </w:rPr>
        <w:t>特此通知。</w:t>
      </w:r>
    </w:p>
    <w:p w:rsidR="00A875E6" w:rsidRDefault="00A875E6" w:rsidP="00A875E6">
      <w:pPr>
        <w:rPr>
          <w:rFonts w:ascii="仿宋_GB2312" w:eastAsia="仿宋_GB2312"/>
          <w:sz w:val="32"/>
          <w:szCs w:val="32"/>
        </w:rPr>
      </w:pPr>
    </w:p>
    <w:p w:rsidR="00A875E6" w:rsidRPr="00A875E6" w:rsidRDefault="008B5C7B" w:rsidP="002C2F03">
      <w:pPr>
        <w:rPr>
          <w:rFonts w:ascii="仿宋_GB2312" w:eastAsia="仿宋_GB2312"/>
          <w:sz w:val="32"/>
          <w:szCs w:val="32"/>
        </w:rPr>
      </w:pPr>
      <w:r>
        <w:rPr>
          <w:rFonts w:ascii="仿宋_GB2312" w:eastAsia="仿宋_GB2312" w:hint="eastAsia"/>
          <w:sz w:val="32"/>
          <w:szCs w:val="32"/>
        </w:rPr>
        <w:t>附</w:t>
      </w:r>
      <w:r w:rsidR="002C2F03">
        <w:rPr>
          <w:rFonts w:ascii="仿宋_GB2312" w:eastAsia="仿宋_GB2312" w:hint="eastAsia"/>
          <w:sz w:val="32"/>
          <w:szCs w:val="32"/>
        </w:rPr>
        <w:t>件</w:t>
      </w:r>
      <w:r>
        <w:rPr>
          <w:rFonts w:ascii="仿宋_GB2312" w:eastAsia="仿宋_GB2312" w:hint="eastAsia"/>
          <w:sz w:val="32"/>
          <w:szCs w:val="32"/>
        </w:rPr>
        <w:t>:</w:t>
      </w:r>
      <w:r w:rsidR="00A875E6" w:rsidRPr="00A875E6">
        <w:rPr>
          <w:rFonts w:ascii="仿宋_GB2312" w:eastAsia="仿宋_GB2312" w:hint="eastAsia"/>
          <w:sz w:val="32"/>
          <w:szCs w:val="32"/>
        </w:rPr>
        <w:t>1</w:t>
      </w:r>
      <w:r>
        <w:rPr>
          <w:rFonts w:ascii="仿宋_GB2312" w:eastAsia="仿宋_GB2312" w:hint="eastAsia"/>
          <w:sz w:val="32"/>
          <w:szCs w:val="32"/>
        </w:rPr>
        <w:t>.</w:t>
      </w:r>
      <w:r w:rsidR="00A875E6" w:rsidRPr="00A875E6">
        <w:rPr>
          <w:rFonts w:ascii="仿宋_GB2312" w:eastAsia="仿宋_GB2312" w:hint="eastAsia"/>
          <w:sz w:val="32"/>
          <w:szCs w:val="32"/>
        </w:rPr>
        <w:t>深圳市社会工作服务机构绩效评估标准(征求意见稿)</w:t>
      </w:r>
    </w:p>
    <w:p w:rsidR="00367C78" w:rsidRPr="00367C78" w:rsidRDefault="002C2F03" w:rsidP="00367C78">
      <w:pPr>
        <w:ind w:firstLineChars="200" w:firstLine="640"/>
        <w:rPr>
          <w:rFonts w:ascii="仿宋_GB2312" w:eastAsia="仿宋_GB2312"/>
          <w:sz w:val="32"/>
          <w:szCs w:val="32"/>
        </w:rPr>
      </w:pPr>
      <w:r>
        <w:rPr>
          <w:rFonts w:ascii="仿宋_GB2312" w:eastAsia="仿宋_GB2312" w:hint="eastAsia"/>
          <w:sz w:val="32"/>
          <w:szCs w:val="32"/>
        </w:rPr>
        <w:t xml:space="preserve">  </w:t>
      </w:r>
      <w:r w:rsidR="00A875E6" w:rsidRPr="00A875E6">
        <w:rPr>
          <w:rFonts w:ascii="仿宋_GB2312" w:eastAsia="仿宋_GB2312" w:hint="eastAsia"/>
          <w:sz w:val="32"/>
          <w:szCs w:val="32"/>
        </w:rPr>
        <w:t>2</w:t>
      </w:r>
      <w:r w:rsidR="008B5C7B">
        <w:rPr>
          <w:rFonts w:ascii="仿宋_GB2312" w:eastAsia="仿宋_GB2312" w:hint="eastAsia"/>
          <w:sz w:val="32"/>
          <w:szCs w:val="32"/>
        </w:rPr>
        <w:t>.</w:t>
      </w:r>
      <w:r w:rsidR="00367C78" w:rsidRPr="00367C78">
        <w:rPr>
          <w:rFonts w:ascii="仿宋_GB2312" w:eastAsia="仿宋_GB2312" w:hint="eastAsia"/>
          <w:sz w:val="32"/>
          <w:szCs w:val="32"/>
        </w:rPr>
        <w:t>深圳市社会工作服务机构绩效评估操作办法</w:t>
      </w:r>
    </w:p>
    <w:p w:rsidR="00810460" w:rsidRDefault="002C2F03" w:rsidP="00367C78">
      <w:pPr>
        <w:ind w:firstLineChars="200" w:firstLine="640"/>
        <w:rPr>
          <w:rFonts w:ascii="仿宋_GB2312" w:eastAsia="仿宋_GB2312"/>
          <w:sz w:val="32"/>
          <w:szCs w:val="32"/>
        </w:rPr>
      </w:pPr>
      <w:r>
        <w:rPr>
          <w:rFonts w:ascii="仿宋_GB2312" w:eastAsia="仿宋_GB2312" w:hint="eastAsia"/>
          <w:sz w:val="32"/>
          <w:szCs w:val="32"/>
        </w:rPr>
        <w:t xml:space="preserve">  </w:t>
      </w:r>
      <w:r w:rsidR="00367C78">
        <w:rPr>
          <w:rFonts w:ascii="仿宋_GB2312" w:eastAsia="仿宋_GB2312" w:hint="eastAsia"/>
          <w:sz w:val="32"/>
          <w:szCs w:val="32"/>
        </w:rPr>
        <w:t>3</w:t>
      </w:r>
      <w:r w:rsidR="008B5C7B">
        <w:rPr>
          <w:rFonts w:ascii="仿宋_GB2312" w:eastAsia="仿宋_GB2312" w:hint="eastAsia"/>
          <w:sz w:val="32"/>
          <w:szCs w:val="32"/>
        </w:rPr>
        <w:t>.</w:t>
      </w:r>
      <w:r w:rsidR="00A875E6" w:rsidRPr="00A875E6">
        <w:rPr>
          <w:rFonts w:ascii="仿宋_GB2312" w:eastAsia="仿宋_GB2312" w:hint="eastAsia"/>
          <w:sz w:val="32"/>
          <w:szCs w:val="32"/>
        </w:rPr>
        <w:t>反馈意见表</w:t>
      </w:r>
    </w:p>
    <w:p w:rsidR="00810460" w:rsidRDefault="00810460" w:rsidP="00367C78">
      <w:pPr>
        <w:ind w:firstLineChars="200" w:firstLine="640"/>
        <w:rPr>
          <w:rFonts w:ascii="仿宋_GB2312" w:eastAsia="仿宋_GB2312"/>
          <w:sz w:val="32"/>
          <w:szCs w:val="32"/>
        </w:rPr>
      </w:pPr>
    </w:p>
    <w:p w:rsidR="00810460" w:rsidRDefault="00810460" w:rsidP="00367C78">
      <w:pPr>
        <w:ind w:firstLineChars="200" w:firstLine="640"/>
        <w:rPr>
          <w:rFonts w:ascii="仿宋_GB2312" w:eastAsia="仿宋_GB2312"/>
          <w:sz w:val="32"/>
          <w:szCs w:val="32"/>
        </w:rPr>
      </w:pPr>
    </w:p>
    <w:p w:rsidR="007E56D4" w:rsidRPr="007E56D4" w:rsidRDefault="00810460" w:rsidP="002C2F03">
      <w:pPr>
        <w:ind w:firstLineChars="300" w:firstLine="960"/>
        <w:jc w:val="center"/>
        <w:rPr>
          <w:rFonts w:ascii="仿宋_GB2312" w:eastAsia="仿宋_GB2312"/>
          <w:sz w:val="32"/>
          <w:szCs w:val="32"/>
        </w:rPr>
      </w:pPr>
      <w:r w:rsidRPr="00810460">
        <w:rPr>
          <w:rFonts w:ascii="仿宋_GB2312" w:eastAsia="仿宋_GB2312" w:hint="eastAsia"/>
          <w:sz w:val="32"/>
          <w:szCs w:val="32"/>
        </w:rPr>
        <w:t>（联系人： 罗敏婵</w:t>
      </w:r>
      <w:r>
        <w:rPr>
          <w:rFonts w:ascii="仿宋_GB2312" w:eastAsia="仿宋_GB2312" w:hint="eastAsia"/>
          <w:sz w:val="32"/>
          <w:szCs w:val="32"/>
        </w:rPr>
        <w:t xml:space="preserve"> </w:t>
      </w:r>
      <w:r w:rsidRPr="00810460">
        <w:rPr>
          <w:rFonts w:ascii="仿宋_GB2312" w:eastAsia="仿宋_GB2312" w:hint="eastAsia"/>
          <w:sz w:val="32"/>
          <w:szCs w:val="32"/>
        </w:rPr>
        <w:t>25831765）</w:t>
      </w:r>
    </w:p>
    <w:p w:rsidR="007E56D4" w:rsidRPr="00B06AAA" w:rsidRDefault="00B06AAA" w:rsidP="00B06AAA">
      <w:pPr>
        <w:spacing w:line="700" w:lineRule="exact"/>
        <w:ind w:firstLine="540"/>
        <w:jc w:val="left"/>
        <w:rPr>
          <w:rFonts w:ascii="仿宋_GB2312" w:eastAsia="仿宋_GB2312"/>
          <w:sz w:val="32"/>
          <w:szCs w:val="32"/>
        </w:rPr>
      </w:pPr>
      <w:r>
        <w:rPr>
          <w:rFonts w:hint="eastAsia"/>
        </w:rPr>
        <w:lastRenderedPageBreak/>
        <w:t xml:space="preserve">                                                   </w:t>
      </w:r>
      <w:r>
        <w:rPr>
          <w:rFonts w:ascii="仿宋_GB2312" w:eastAsia="仿宋_GB2312" w:hint="eastAsia"/>
          <w:sz w:val="32"/>
          <w:szCs w:val="32"/>
        </w:rPr>
        <w:t>市民政局</w:t>
      </w:r>
      <w:r w:rsidRPr="00B06AAA">
        <w:rPr>
          <w:rFonts w:ascii="仿宋_GB2312" w:eastAsia="仿宋_GB2312" w:hint="eastAsia"/>
          <w:sz w:val="32"/>
          <w:szCs w:val="32"/>
        </w:rPr>
        <w:t>社工处</w:t>
      </w:r>
    </w:p>
    <w:p w:rsidR="00B06AAA" w:rsidRPr="00B06AAA" w:rsidRDefault="00B06AAA" w:rsidP="00B06AAA">
      <w:pPr>
        <w:spacing w:line="700" w:lineRule="exact"/>
        <w:ind w:firstLine="540"/>
        <w:jc w:val="right"/>
        <w:rPr>
          <w:rFonts w:ascii="仿宋_GB2312" w:eastAsia="仿宋_GB2312"/>
          <w:sz w:val="32"/>
          <w:szCs w:val="32"/>
        </w:rPr>
      </w:pPr>
      <w:r w:rsidRPr="00B06AAA">
        <w:rPr>
          <w:rFonts w:ascii="仿宋_GB2312" w:eastAsia="仿宋_GB2312" w:hint="eastAsia"/>
          <w:sz w:val="32"/>
          <w:szCs w:val="32"/>
        </w:rPr>
        <w:t>2015年12月5日</w:t>
      </w:r>
    </w:p>
    <w:p w:rsidR="00367C78" w:rsidRDefault="00367C78" w:rsidP="00810460">
      <w:pPr>
        <w:widowControl/>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bCs/>
          <w:color w:val="000000"/>
          <w:sz w:val="32"/>
          <w:szCs w:val="32"/>
        </w:rPr>
        <w:br w:type="page"/>
      </w:r>
    </w:p>
    <w:p w:rsidR="00367C78" w:rsidRDefault="00367C78" w:rsidP="00367C78">
      <w:pPr>
        <w:jc w:val="left"/>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lastRenderedPageBreak/>
        <w:t>附件1：</w:t>
      </w:r>
    </w:p>
    <w:p w:rsidR="007E56D4" w:rsidRDefault="007E56D4" w:rsidP="007E56D4">
      <w:pPr>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t>深圳市社会工作服务机构绩效评估标准</w:t>
      </w:r>
    </w:p>
    <w:p w:rsidR="007E56D4" w:rsidRDefault="007E56D4" w:rsidP="007E56D4">
      <w:pPr>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t>(征求意见稿)</w:t>
      </w:r>
    </w:p>
    <w:tbl>
      <w:tblPr>
        <w:tblW w:w="0" w:type="auto"/>
        <w:tblInd w:w="93" w:type="dxa"/>
        <w:tblLayout w:type="fixed"/>
        <w:tblLook w:val="0000"/>
      </w:tblPr>
      <w:tblGrid>
        <w:gridCol w:w="724"/>
        <w:gridCol w:w="709"/>
        <w:gridCol w:w="708"/>
        <w:gridCol w:w="2127"/>
        <w:gridCol w:w="567"/>
        <w:gridCol w:w="2268"/>
        <w:gridCol w:w="1276"/>
      </w:tblGrid>
      <w:tr w:rsidR="007E56D4" w:rsidTr="00A1295E">
        <w:trPr>
          <w:trHeight w:val="365"/>
        </w:trPr>
        <w:tc>
          <w:tcPr>
            <w:tcW w:w="724" w:type="dxa"/>
            <w:tcBorders>
              <w:top w:val="single" w:sz="4" w:space="0" w:color="auto"/>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一级指标</w:t>
            </w:r>
          </w:p>
        </w:tc>
        <w:tc>
          <w:tcPr>
            <w:tcW w:w="709"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二级指标</w:t>
            </w:r>
          </w:p>
        </w:tc>
        <w:tc>
          <w:tcPr>
            <w:tcW w:w="708"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分值</w:t>
            </w:r>
          </w:p>
        </w:tc>
        <w:tc>
          <w:tcPr>
            <w:tcW w:w="2127"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三级指标</w:t>
            </w:r>
          </w:p>
        </w:tc>
        <w:tc>
          <w:tcPr>
            <w:tcW w:w="567"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分值</w:t>
            </w:r>
          </w:p>
        </w:tc>
        <w:tc>
          <w:tcPr>
            <w:tcW w:w="2268"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评估内容</w:t>
            </w:r>
          </w:p>
        </w:tc>
        <w:tc>
          <w:tcPr>
            <w:tcW w:w="1276" w:type="dxa"/>
            <w:tcBorders>
              <w:top w:val="single" w:sz="4" w:space="0" w:color="auto"/>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评估主体</w:t>
            </w:r>
          </w:p>
        </w:tc>
      </w:tr>
      <w:tr w:rsidR="007E56D4" w:rsidTr="00A1295E">
        <w:trPr>
          <w:trHeight w:val="990"/>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规划与总结(70分)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战略规划</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中长期战略规划制定与执行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评价机构中长期规划及其监测机制的制定的专业性与科学性，查验规划执行及监测机制的落实情况。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7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战略规划的监督机制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8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战略规划的监测</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评估中心、督导</w:t>
            </w:r>
          </w:p>
        </w:tc>
      </w:tr>
      <w:tr w:rsidR="007E56D4" w:rsidTr="00A1295E">
        <w:trPr>
          <w:trHeight w:val="76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年度计划</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2015年年度计划执行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评价机构年度工作计划的制定与执行情况，考察机构年度计划设计的科学性与执行的有效性。</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88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2016年年度计划设计</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总结与反思</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2015年年度工作总结</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评价机构年度总结工作的执行情况，考察机构对于年度工作执行情况的反思与改进思路。</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年度目标达成</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3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工作改进计划</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96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业务拓展/服务深化规划</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拓展/深化规划设计</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评价机构对于服务人群或项目业务的拓展或深化规划路径，考察机构为延伸服务所设计的发展路径及实施策略，检验规划的实施情况。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13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规划实施情况</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27"/>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管理与执行（90分）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服务管理机制</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制度类别</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评价机构针对机构专业服务所设计的各类管理制度是否完备，是否有利于服务的顺利开展，查验制度的执行情况。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7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监测策略</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79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服务执行与监管</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制度执行情况</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评价机构对于各项管理制度执行与自我监督的情况，考察机构对于服务过程管理和监</w:t>
            </w:r>
            <w:r>
              <w:rPr>
                <w:rFonts w:ascii="仿宋" w:eastAsia="仿宋" w:hAnsi="仿宋" w:cs="宋体" w:hint="eastAsia"/>
                <w:color w:val="000000"/>
                <w:kern w:val="0"/>
                <w:szCs w:val="21"/>
              </w:rPr>
              <w:lastRenderedPageBreak/>
              <w:t>控的实施过程。</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评估中心、员工</w:t>
            </w:r>
          </w:p>
        </w:tc>
      </w:tr>
      <w:tr w:rsidR="007E56D4" w:rsidTr="00A1295E">
        <w:trPr>
          <w:trHeight w:val="4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制度执行监管</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70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服务管理成效</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管理体系</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评价机构所开展的机构与服务管理工作形成体系的情况，整合社会工作者及其他工作人员、督导等对于机构管理工作的评价。</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6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66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750"/>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财务运营（210分）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财务管理机制</w:t>
            </w:r>
          </w:p>
        </w:tc>
        <w:tc>
          <w:tcPr>
            <w:tcW w:w="708" w:type="dxa"/>
            <w:vMerge w:val="restart"/>
            <w:tcBorders>
              <w:top w:val="nil"/>
              <w:left w:val="single" w:sz="4" w:space="0" w:color="auto"/>
              <w:bottom w:val="single" w:sz="4" w:space="0" w:color="000000"/>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经费审批程序</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评价机构财务管理工作的开展情况，考察机构财务制度建立、财务人员配备、财务档案管理和财务审计是否符合要求。</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支出票据</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结算方式</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财务会计报告</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财务报表业经审计</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政府资助款项使用</w:t>
            </w:r>
          </w:p>
        </w:tc>
        <w:tc>
          <w:tcPr>
            <w:tcW w:w="708" w:type="dxa"/>
            <w:vMerge w:val="restart"/>
            <w:tcBorders>
              <w:top w:val="nil"/>
              <w:left w:val="single" w:sz="4" w:space="0" w:color="auto"/>
              <w:bottom w:val="single" w:sz="4" w:space="0" w:color="000000"/>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社工工资</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评价政府资助款项的使用情况，通过统计和核算机构各项支出，分析机构的经费使用是否符合要求。</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活动经费使用比例</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经费占比</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资助款核算</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5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整体财务健康状况</w:t>
            </w:r>
          </w:p>
        </w:tc>
        <w:tc>
          <w:tcPr>
            <w:tcW w:w="708" w:type="dxa"/>
            <w:vMerge w:val="restart"/>
            <w:tcBorders>
              <w:top w:val="nil"/>
              <w:left w:val="single" w:sz="4" w:space="0" w:color="auto"/>
              <w:bottom w:val="single" w:sz="4" w:space="0" w:color="000000"/>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审计结果</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评价机构整体财务状况，通过查验审计结果和综合评价财务状况的方式，分析机构财务的健康程度。</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10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总体评价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薪酬与保障</w:t>
            </w:r>
          </w:p>
        </w:tc>
        <w:tc>
          <w:tcPr>
            <w:tcW w:w="708" w:type="dxa"/>
            <w:vMerge w:val="restart"/>
            <w:tcBorders>
              <w:top w:val="nil"/>
              <w:left w:val="single" w:sz="4" w:space="0" w:color="auto"/>
              <w:bottom w:val="single" w:sz="4" w:space="0" w:color="000000"/>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薪酬增长机制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评价机构薪酬发放情况。考察机构薪酬及其增长制度建立的科学、合理性，</w:t>
            </w:r>
            <w:proofErr w:type="gramStart"/>
            <w:r>
              <w:rPr>
                <w:rFonts w:ascii="仿宋" w:eastAsia="仿宋" w:hAnsi="仿宋" w:cs="宋体" w:hint="eastAsia"/>
                <w:color w:val="000000"/>
                <w:kern w:val="0"/>
                <w:szCs w:val="21"/>
              </w:rPr>
              <w:t>查验全</w:t>
            </w:r>
            <w:proofErr w:type="gramEnd"/>
            <w:r>
              <w:rPr>
                <w:rFonts w:ascii="仿宋" w:eastAsia="仿宋" w:hAnsi="仿宋" w:cs="宋体" w:hint="eastAsia"/>
                <w:color w:val="000000"/>
                <w:kern w:val="0"/>
                <w:szCs w:val="21"/>
              </w:rPr>
              <w:t>年薪酬报表，了解机构空岗情况。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全年薪酬报表</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000000"/>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空岗情况</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会计师事务所</w:t>
            </w:r>
          </w:p>
        </w:tc>
      </w:tr>
      <w:tr w:rsidR="007E56D4" w:rsidTr="00A1295E">
        <w:trPr>
          <w:trHeight w:val="465"/>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支持</w:t>
            </w:r>
            <w:r>
              <w:rPr>
                <w:rFonts w:ascii="仿宋" w:eastAsia="仿宋" w:hAnsi="仿宋" w:cs="宋体" w:hint="eastAsia"/>
                <w:color w:val="000000"/>
                <w:kern w:val="0"/>
                <w:szCs w:val="21"/>
              </w:rPr>
              <w:lastRenderedPageBreak/>
              <w:t>与推进（295分）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专业</w:t>
            </w:r>
            <w:r>
              <w:rPr>
                <w:rFonts w:ascii="仿宋" w:eastAsia="仿宋" w:hAnsi="仿宋" w:cs="宋体" w:hint="eastAsia"/>
                <w:color w:val="000000"/>
                <w:kern w:val="0"/>
                <w:szCs w:val="21"/>
              </w:rPr>
              <w:lastRenderedPageBreak/>
              <w:t>支持</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130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专业培训机制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评价机构对于社会工</w:t>
            </w:r>
            <w:r>
              <w:rPr>
                <w:rFonts w:ascii="仿宋" w:eastAsia="仿宋" w:hAnsi="仿宋" w:cs="宋体" w:hint="eastAsia"/>
                <w:color w:val="000000"/>
                <w:kern w:val="0"/>
                <w:szCs w:val="21"/>
              </w:rPr>
              <w:lastRenderedPageBreak/>
              <w:t>作者及其他工作人员在服务过程中给予的专业技术支持情况，如培训、督导等。</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督导</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培训工作执行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培训质量</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服务技能培训</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市社协</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督导人才培养</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配合督导工作</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督导沟通情况</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4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业务指导</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入职启导</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评价机构在社会工作者及其他工作人员在服务过程中给予的业务咨询与指导服务，如启导手册的使用、应急事件的处理等。</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49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咨询与指导执行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54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应急事件处理</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w:t>
            </w:r>
          </w:p>
        </w:tc>
      </w:tr>
      <w:tr w:rsidR="007E56D4" w:rsidTr="00A1295E">
        <w:trPr>
          <w:trHeight w:val="5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资源链接</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资源库建立</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评价机构为社工岗位和社区服务中心服务的开展链接的各方（含政府和非政府）资源的情况，考察机构所链接的资源是否有助于服务开展。</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链接工作执行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w:t>
            </w:r>
          </w:p>
        </w:tc>
      </w:tr>
      <w:tr w:rsidR="007E56D4" w:rsidTr="00A1295E">
        <w:trPr>
          <w:trHeight w:val="81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资源效益</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w:t>
            </w:r>
          </w:p>
        </w:tc>
      </w:tr>
      <w:tr w:rsidR="007E56D4" w:rsidTr="00A1295E">
        <w:trPr>
          <w:trHeight w:val="864"/>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资源投入</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投入计划</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评价机构为服务的开展投入人力、财力和物力等资源的情况，考察机构所提供的资源是否能够满足服务开展的需求。</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资源与服务匹配度</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w:t>
            </w:r>
          </w:p>
        </w:tc>
      </w:tr>
      <w:tr w:rsidR="007E56D4" w:rsidTr="00A1295E">
        <w:trPr>
          <w:trHeight w:val="58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品牌管理与推广</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品牌管理规划</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评价机构品牌服务的推广情况，考察机构品牌服务所覆盖的范围、推广的力度和产生的效应等。</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4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规划执行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4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品牌推广</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4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品牌效应</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3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支持度评价</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整合社会工作者及其他工作人员、督导等对于机构所提供的支持工作的评价。</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57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72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服务研究与创新</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研究机制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评价机构动员社会工作者或其他工作人员开展服务研究，研发公益项目，发表研究成</w:t>
            </w:r>
            <w:r>
              <w:rPr>
                <w:rFonts w:ascii="仿宋" w:eastAsia="仿宋" w:hAnsi="仿宋" w:cs="宋体" w:hint="eastAsia"/>
                <w:color w:val="000000"/>
                <w:kern w:val="0"/>
                <w:szCs w:val="21"/>
              </w:rPr>
              <w:lastRenderedPageBreak/>
              <w:t>果，并积极争取社会公益资金支持项目开展的情况。在专业服务中探索新的专业理论、服务技术或拓展新的服务领域，并取得效益。</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评估中心</w:t>
            </w:r>
          </w:p>
        </w:tc>
      </w:tr>
      <w:tr w:rsidR="007E56D4" w:rsidTr="00A1295E">
        <w:trPr>
          <w:trHeight w:val="66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研发项目</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8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研发项目开展</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75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研究成果发表</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0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激励措施</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激励制度</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评价机构为推动服务发展，对社会工作者或其他工作人员实施各种激励措施的情况。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0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激励工作执行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435"/>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监控与验收（165分）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成效测评</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成效测评机制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评价机构为监测服务成效所开展的成效测评工作，考察其成效测评内容的全面性与有效性。</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48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测评机制执行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9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定期检讨</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测评结果处理与跟进</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民意测评</w:t>
            </w:r>
          </w:p>
        </w:tc>
        <w:tc>
          <w:tcPr>
            <w:tcW w:w="708" w:type="dxa"/>
            <w:vMerge w:val="restart"/>
            <w:tcBorders>
              <w:top w:val="nil"/>
              <w:left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民意测评机制</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val="restart"/>
            <w:tcBorders>
              <w:top w:val="nil"/>
              <w:left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评价机构为了解服务开展效果，了解机构管理工作执行情况而开展的民意测评，测评对象包括服务对象、机构员工、用人单位和合作单位等。</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left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left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测评工作执行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left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评估中心、员工</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意见收集与投诉处理</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54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绩效考核</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绩效考核制度</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评价机构为确保服务质量，监测社会工作者或其他工作人员工作绩效的情况，考察机构将绩效考核结果与员工激励与惩罚工作相结合的过程。</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0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绩效考核执行</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64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定期考核</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73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考核结果运用</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52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项目验收</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验收制度</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评价机构在项目</w:t>
            </w:r>
            <w:r>
              <w:rPr>
                <w:rStyle w:val="aa"/>
                <w:rFonts w:ascii="仿宋" w:eastAsia="仿宋" w:hAnsi="仿宋" w:cs="宋体"/>
                <w:color w:val="000000"/>
                <w:kern w:val="0"/>
                <w:szCs w:val="21"/>
              </w:rPr>
              <w:footnoteReference w:id="1"/>
            </w:r>
            <w:r>
              <w:rPr>
                <w:rFonts w:ascii="仿宋" w:eastAsia="仿宋" w:hAnsi="仿宋" w:cs="宋体" w:hint="eastAsia"/>
                <w:color w:val="000000"/>
                <w:kern w:val="0"/>
                <w:szCs w:val="21"/>
              </w:rPr>
              <w:t>结束阶段，对于项目成效进行测量，并通过科学方式验收项目成果的过程。</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验收措施</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75"/>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机构成果（170分）</w:t>
            </w: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获奖情况</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员工获奖</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评价机构在运作过程中，所获得的各类奖励情况。</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专业获奖</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社工之星</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市社协</w:t>
            </w:r>
          </w:p>
        </w:tc>
      </w:tr>
      <w:tr w:rsidR="007E56D4" w:rsidTr="00A1295E">
        <w:trPr>
          <w:trHeight w:val="375"/>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十佳案例</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市社协</w:t>
            </w:r>
          </w:p>
        </w:tc>
      </w:tr>
      <w:tr w:rsidR="007E56D4" w:rsidTr="00A1295E">
        <w:trPr>
          <w:trHeight w:val="841"/>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满意度情况</w:t>
            </w:r>
          </w:p>
        </w:tc>
        <w:tc>
          <w:tcPr>
            <w:tcW w:w="70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2268"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整合社会工作者及其他工作人员、督导和服务对象等对于机构整体评价，了解其对于机构的满意度情况。服务对象评价采纳社工岗位评估、社区服务中心评估中服务对象的评价结果。</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督导</w:t>
            </w:r>
          </w:p>
        </w:tc>
      </w:tr>
      <w:tr w:rsidR="007E56D4" w:rsidTr="00A1295E">
        <w:trPr>
          <w:trHeight w:val="853"/>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员工</w:t>
            </w:r>
          </w:p>
        </w:tc>
      </w:tr>
      <w:tr w:rsidR="007E56D4" w:rsidTr="00A1295E">
        <w:trPr>
          <w:trHeight w:val="978"/>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212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服务对象评价</w:t>
            </w:r>
          </w:p>
        </w:tc>
        <w:tc>
          <w:tcPr>
            <w:tcW w:w="567"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w:t>
            </w:r>
          </w:p>
        </w:tc>
        <w:tc>
          <w:tcPr>
            <w:tcW w:w="2268"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服务对象</w:t>
            </w:r>
          </w:p>
        </w:tc>
      </w:tr>
      <w:tr w:rsidR="007E56D4" w:rsidTr="00A1295E">
        <w:trPr>
          <w:trHeight w:val="1110"/>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附加指标：加分项</w:t>
            </w:r>
          </w:p>
        </w:tc>
        <w:tc>
          <w:tcPr>
            <w:tcW w:w="709"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机构等级评估结果</w:t>
            </w:r>
          </w:p>
        </w:tc>
        <w:tc>
          <w:tcPr>
            <w:tcW w:w="708"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0-5</w:t>
            </w:r>
          </w:p>
        </w:tc>
        <w:tc>
          <w:tcPr>
            <w:tcW w:w="4962" w:type="dxa"/>
            <w:gridSpan w:val="3"/>
            <w:tcBorders>
              <w:top w:val="single" w:sz="4" w:space="0" w:color="auto"/>
              <w:left w:val="nil"/>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已参与深圳市/区民办非企业单位评估的，加2分；其中评估结论达到5A的，另加3分。未参与评估的，此项不加分。</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144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社区服务中心评估结果</w:t>
            </w:r>
          </w:p>
        </w:tc>
        <w:tc>
          <w:tcPr>
            <w:tcW w:w="708"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0-10</w:t>
            </w:r>
          </w:p>
        </w:tc>
        <w:tc>
          <w:tcPr>
            <w:tcW w:w="4962" w:type="dxa"/>
            <w:gridSpan w:val="3"/>
            <w:tcBorders>
              <w:top w:val="single" w:sz="4" w:space="0" w:color="auto"/>
              <w:left w:val="nil"/>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结合深圳市社区服务中心评估结果，机构所运营的所有社区服务中心评估得分均值排序位于前10%的，给予加分。未承接社区服务中心运营项目的，此项不加分。</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1500"/>
        </w:trPr>
        <w:tc>
          <w:tcPr>
            <w:tcW w:w="724" w:type="dxa"/>
            <w:vMerge w:val="restart"/>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减分项</w:t>
            </w:r>
          </w:p>
        </w:tc>
        <w:tc>
          <w:tcPr>
            <w:tcW w:w="709"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机构年检结果</w:t>
            </w:r>
          </w:p>
        </w:tc>
        <w:tc>
          <w:tcPr>
            <w:tcW w:w="708"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扣20分</w:t>
            </w:r>
          </w:p>
        </w:tc>
        <w:tc>
          <w:tcPr>
            <w:tcW w:w="4962" w:type="dxa"/>
            <w:gridSpan w:val="3"/>
            <w:tcBorders>
              <w:top w:val="single" w:sz="4" w:space="0" w:color="auto"/>
              <w:left w:val="nil"/>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结合深圳市/区民办非企业单位年检结果，年检结论为“基本合格”或累计一年未参与年检的，扣除20分。年检结论为“不合格”的，直接取消参评资格。</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r w:rsidR="007E56D4" w:rsidTr="00A1295E">
        <w:trPr>
          <w:trHeight w:val="150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投诉情况</w:t>
            </w:r>
          </w:p>
        </w:tc>
        <w:tc>
          <w:tcPr>
            <w:tcW w:w="708"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扣10-50</w:t>
            </w:r>
          </w:p>
        </w:tc>
        <w:tc>
          <w:tcPr>
            <w:tcW w:w="4962" w:type="dxa"/>
            <w:gridSpan w:val="3"/>
            <w:tcBorders>
              <w:top w:val="single" w:sz="4" w:space="0" w:color="auto"/>
              <w:left w:val="nil"/>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roofErr w:type="gramStart"/>
            <w:r>
              <w:rPr>
                <w:rFonts w:ascii="仿宋" w:eastAsia="仿宋" w:hAnsi="仿宋" w:cs="宋体" w:hint="eastAsia"/>
                <w:color w:val="000000"/>
                <w:kern w:val="0"/>
                <w:szCs w:val="21"/>
              </w:rPr>
              <w:t>以社协在</w:t>
            </w:r>
            <w:proofErr w:type="gramEnd"/>
            <w:r>
              <w:rPr>
                <w:rFonts w:ascii="仿宋" w:eastAsia="仿宋" w:hAnsi="仿宋" w:cs="宋体" w:hint="eastAsia"/>
                <w:color w:val="000000"/>
                <w:kern w:val="0"/>
                <w:szCs w:val="21"/>
              </w:rPr>
              <w:t>本年度受理的对有关社工服务机构、一线社工的投诉为主要参考依据，包括机构无故拖欠员工工资等。投诉事件核查结果显示主要过错方在机构或一线社工，且情况属实的，依据情节严重程度扣除相应分值。</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市社协</w:t>
            </w:r>
          </w:p>
        </w:tc>
      </w:tr>
      <w:tr w:rsidR="007E56D4" w:rsidTr="00A1295E">
        <w:trPr>
          <w:trHeight w:val="1260"/>
        </w:trPr>
        <w:tc>
          <w:tcPr>
            <w:tcW w:w="724" w:type="dxa"/>
            <w:vMerge/>
            <w:tcBorders>
              <w:top w:val="nil"/>
              <w:left w:val="single" w:sz="4" w:space="0" w:color="auto"/>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p>
        </w:tc>
        <w:tc>
          <w:tcPr>
            <w:tcW w:w="709"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信息真实与及时</w:t>
            </w:r>
          </w:p>
        </w:tc>
        <w:tc>
          <w:tcPr>
            <w:tcW w:w="708"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扣50-100</w:t>
            </w:r>
          </w:p>
        </w:tc>
        <w:tc>
          <w:tcPr>
            <w:tcW w:w="4962" w:type="dxa"/>
            <w:gridSpan w:val="3"/>
            <w:tcBorders>
              <w:top w:val="single" w:sz="4" w:space="0" w:color="auto"/>
              <w:left w:val="nil"/>
              <w:bottom w:val="single" w:sz="4" w:space="0" w:color="auto"/>
              <w:right w:val="single" w:sz="4" w:space="0" w:color="auto"/>
            </w:tcBorders>
            <w:vAlign w:val="center"/>
          </w:tcPr>
          <w:p w:rsidR="007E56D4" w:rsidRDefault="007E56D4" w:rsidP="00A1295E">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指参评机构必须提供客观、真实的资料和数据，应规定时间内提交参评材料。如发现造假或资料延时提交，根据情节严重程度扣除相应分值。</w:t>
            </w:r>
          </w:p>
        </w:tc>
        <w:tc>
          <w:tcPr>
            <w:tcW w:w="1276" w:type="dxa"/>
            <w:tcBorders>
              <w:top w:val="nil"/>
              <w:left w:val="nil"/>
              <w:bottom w:val="single" w:sz="4" w:space="0" w:color="auto"/>
              <w:right w:val="single" w:sz="4" w:space="0" w:color="auto"/>
            </w:tcBorders>
            <w:vAlign w:val="center"/>
          </w:tcPr>
          <w:p w:rsidR="007E56D4" w:rsidRDefault="007E56D4" w:rsidP="00A129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评估中心</w:t>
            </w:r>
          </w:p>
        </w:tc>
      </w:tr>
    </w:tbl>
    <w:p w:rsidR="007E56D4" w:rsidRDefault="007E56D4" w:rsidP="007E56D4">
      <w:pPr>
        <w:spacing w:line="560" w:lineRule="exact"/>
        <w:rPr>
          <w:rFonts w:ascii="楷体_GB2312" w:eastAsia="楷体_GB2312" w:hAnsi="楷体_GB2312" w:cs="楷体_GB2312"/>
          <w:bCs/>
          <w:color w:val="000000"/>
          <w:sz w:val="32"/>
          <w:szCs w:val="32"/>
        </w:rPr>
      </w:pPr>
      <w:r>
        <w:rPr>
          <w:rFonts w:ascii="仿宋_GB2312" w:eastAsia="仿宋_GB2312" w:hint="eastAsia"/>
          <w:color w:val="000000"/>
        </w:rPr>
        <w:t>备注：评估中心评价的指标项，由参评机构提交佐证材料供评估组查阅；由评估中心和督导/员工共同评价的指标项，各评估主体评价</w:t>
      </w:r>
      <w:proofErr w:type="gramStart"/>
      <w:r>
        <w:rPr>
          <w:rFonts w:ascii="仿宋_GB2312" w:eastAsia="仿宋_GB2312" w:hint="eastAsia"/>
          <w:color w:val="000000"/>
        </w:rPr>
        <w:t>分值占</w:t>
      </w:r>
      <w:proofErr w:type="gramEnd"/>
      <w:r>
        <w:rPr>
          <w:rFonts w:ascii="仿宋_GB2312" w:eastAsia="仿宋_GB2312" w:hint="eastAsia"/>
          <w:color w:val="000000"/>
        </w:rPr>
        <w:t>该指标分值的50%；会计师事务所评价的指标项，由参评机构现场准备佐证材料即可；督导评价的指标项，采用问卷的方式进行调查；员工/社</w:t>
      </w:r>
      <w:proofErr w:type="gramStart"/>
      <w:r>
        <w:rPr>
          <w:rFonts w:ascii="仿宋_GB2312" w:eastAsia="仿宋_GB2312" w:hint="eastAsia"/>
          <w:color w:val="000000"/>
        </w:rPr>
        <w:t>工评价</w:t>
      </w:r>
      <w:proofErr w:type="gramEnd"/>
      <w:r>
        <w:rPr>
          <w:rFonts w:ascii="仿宋_GB2312" w:eastAsia="仿宋_GB2312" w:hint="eastAsia"/>
          <w:color w:val="000000"/>
        </w:rPr>
        <w:t>的指标项，由评估中心在实地评估时对全体员工进行问卷调查；市社</w:t>
      </w:r>
      <w:proofErr w:type="gramStart"/>
      <w:r>
        <w:rPr>
          <w:rFonts w:ascii="仿宋_GB2312" w:eastAsia="仿宋_GB2312" w:hint="eastAsia"/>
          <w:color w:val="000000"/>
        </w:rPr>
        <w:t>协评价</w:t>
      </w:r>
      <w:proofErr w:type="gramEnd"/>
      <w:r>
        <w:rPr>
          <w:rFonts w:ascii="仿宋_GB2312" w:eastAsia="仿宋_GB2312" w:hint="eastAsia"/>
          <w:color w:val="000000"/>
        </w:rPr>
        <w:t>的指标项，将由市社</w:t>
      </w:r>
      <w:proofErr w:type="gramStart"/>
      <w:r>
        <w:rPr>
          <w:rFonts w:ascii="仿宋_GB2312" w:eastAsia="仿宋_GB2312" w:hint="eastAsia"/>
          <w:color w:val="000000"/>
        </w:rPr>
        <w:t>协直接</w:t>
      </w:r>
      <w:proofErr w:type="gramEnd"/>
      <w:r>
        <w:rPr>
          <w:rFonts w:ascii="仿宋_GB2312" w:eastAsia="仿宋_GB2312" w:hint="eastAsia"/>
          <w:color w:val="000000"/>
        </w:rPr>
        <w:t>向评估中心提供评价结果；服务对象评价的指标项，将由评估中心对服务对象进行抽样电话访谈。</w:t>
      </w:r>
      <w:r>
        <w:rPr>
          <w:rFonts w:ascii="仿宋_GB2312" w:eastAsia="仿宋_GB2312"/>
          <w:color w:val="000000"/>
        </w:rPr>
        <w:br w:type="page"/>
      </w:r>
    </w:p>
    <w:p w:rsidR="00367C78" w:rsidRPr="00367C78" w:rsidRDefault="00367C78" w:rsidP="00367C78">
      <w:pPr>
        <w:jc w:val="left"/>
        <w:rPr>
          <w:rFonts w:ascii="方正小标宋简体" w:eastAsia="方正小标宋简体" w:hAnsi="方正小标宋简体" w:cs="方正小标宋简体"/>
          <w:bCs/>
          <w:color w:val="000000"/>
          <w:sz w:val="32"/>
          <w:szCs w:val="32"/>
        </w:rPr>
      </w:pPr>
      <w:r w:rsidRPr="00367C78">
        <w:rPr>
          <w:rFonts w:ascii="方正小标宋简体" w:eastAsia="方正小标宋简体" w:hAnsi="方正小标宋简体" w:cs="方正小标宋简体" w:hint="eastAsia"/>
          <w:bCs/>
          <w:color w:val="000000"/>
          <w:sz w:val="32"/>
          <w:szCs w:val="32"/>
        </w:rPr>
        <w:lastRenderedPageBreak/>
        <w:t>附件2：</w:t>
      </w:r>
    </w:p>
    <w:p w:rsidR="007E56D4" w:rsidRDefault="007E56D4" w:rsidP="007E56D4">
      <w:pPr>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t>深圳市社会工作服务机构绩效评估操作办法</w:t>
      </w:r>
    </w:p>
    <w:p w:rsidR="007E56D4" w:rsidRDefault="007E56D4" w:rsidP="007E56D4">
      <w:pPr>
        <w:spacing w:line="360" w:lineRule="exact"/>
        <w:rPr>
          <w:rFonts w:ascii="仿宋" w:eastAsia="仿宋" w:hAnsi="仿宋" w:cs="仿宋"/>
          <w:b/>
          <w:color w:val="000000"/>
          <w:sz w:val="28"/>
          <w:szCs w:val="28"/>
        </w:rPr>
      </w:pPr>
    </w:p>
    <w:p w:rsidR="007E56D4" w:rsidRDefault="007E56D4" w:rsidP="007E56D4">
      <w:pPr>
        <w:spacing w:line="360" w:lineRule="exact"/>
        <w:rPr>
          <w:rFonts w:ascii="仿宋" w:eastAsia="仿宋" w:hAnsi="仿宋" w:cs="仿宋"/>
          <w:b/>
          <w:color w:val="000000"/>
          <w:sz w:val="28"/>
          <w:szCs w:val="28"/>
        </w:rPr>
      </w:pPr>
      <w:r>
        <w:rPr>
          <w:rFonts w:ascii="仿宋" w:eastAsia="仿宋" w:hAnsi="仿宋" w:cs="仿宋" w:hint="eastAsia"/>
          <w:b/>
          <w:color w:val="000000"/>
          <w:sz w:val="28"/>
          <w:szCs w:val="28"/>
        </w:rPr>
        <w:t>第一部分 规划与总结（80分）</w:t>
      </w:r>
    </w:p>
    <w:p w:rsidR="007E56D4" w:rsidRDefault="007E56D4" w:rsidP="007E56D4">
      <w:pPr>
        <w:pStyle w:val="ac"/>
        <w:spacing w:line="360" w:lineRule="exact"/>
        <w:ind w:firstLine="482"/>
        <w:rPr>
          <w:rFonts w:ascii="仿宋" w:eastAsia="仿宋" w:hAnsi="仿宋" w:cs="仿宋"/>
          <w:b/>
          <w:color w:val="000000"/>
          <w:sz w:val="24"/>
          <w:szCs w:val="24"/>
        </w:rPr>
      </w:pPr>
      <w:r>
        <w:rPr>
          <w:rFonts w:ascii="仿宋" w:eastAsia="仿宋" w:hAnsi="仿宋" w:cs="仿宋" w:hint="eastAsia"/>
          <w:b/>
          <w:color w:val="000000"/>
          <w:sz w:val="24"/>
          <w:szCs w:val="24"/>
        </w:rPr>
        <w:t>1.1战略规划（20分）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1.1.1 中长期战略规划的制定与执行（10分）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机构能根据现有基础，结合未来行业发展的预期，制定的战略规划具有科学性，目标清晰，可操作性强，并按规划执行，得10分；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机构能制定战略规划，但是流于表面，科学性和可操作性不强，目标不够清晰，或执行情况一般，得5分；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机构没有制定战略规划或未执行，得0分。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1.1.2 战略规划的监测机制（5分）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有科学、可操作的战略监测机制，得5分；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有监测机制，但不够科学，可操作性不强，得2.5分；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无监测机制，得0分。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1.1.3 战略规划的监测（5分）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能根据战略规划监测机制监控规划执行的进度和效度，并有相应的监测记录，得5分；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能够监测规划的进度与效度，但记录不完整，得2.5分；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未对规划进度或效度进行监测，得0分。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pStyle w:val="ac"/>
        <w:spacing w:line="360" w:lineRule="exact"/>
        <w:ind w:firstLine="482"/>
        <w:rPr>
          <w:rFonts w:ascii="仿宋" w:eastAsia="仿宋" w:hAnsi="仿宋" w:cs="仿宋"/>
          <w:b/>
          <w:color w:val="000000"/>
          <w:sz w:val="24"/>
          <w:szCs w:val="24"/>
        </w:rPr>
      </w:pPr>
      <w:r>
        <w:rPr>
          <w:rFonts w:ascii="仿宋" w:eastAsia="仿宋" w:hAnsi="仿宋" w:cs="仿宋" w:hint="eastAsia"/>
          <w:b/>
          <w:color w:val="000000"/>
          <w:sz w:val="24"/>
          <w:szCs w:val="24"/>
        </w:rPr>
        <w:t>1.</w:t>
      </w:r>
      <w:proofErr w:type="gramStart"/>
      <w:r>
        <w:rPr>
          <w:rFonts w:ascii="仿宋" w:eastAsia="仿宋" w:hAnsi="仿宋" w:cs="仿宋" w:hint="eastAsia"/>
          <w:b/>
          <w:color w:val="000000"/>
          <w:sz w:val="24"/>
          <w:szCs w:val="24"/>
        </w:rPr>
        <w:t>2</w:t>
      </w:r>
      <w:proofErr w:type="gramEnd"/>
      <w:r>
        <w:rPr>
          <w:rFonts w:ascii="仿宋" w:eastAsia="仿宋" w:hAnsi="仿宋" w:cs="仿宋" w:hint="eastAsia"/>
          <w:b/>
          <w:color w:val="000000"/>
          <w:sz w:val="24"/>
          <w:szCs w:val="24"/>
        </w:rPr>
        <w:t>年度计划（20）</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1.2.1 2015年年度计划执行（10分）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机构严格按照2015年度工作计划进度和内容开展工作，并有相应的监测记录，得10分；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机构部分工作内容未按照2015年度工作计划执行，且无变更记录，或监测记录不完整，得5分；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机构完全未按照2015年度工作计划执行，得0分。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1.2.2 2016年年度计划设计（10分）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机构撰有具体完整、可操作、可实现的2016年度工作计划，得10分；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机构撰有年度工作计划，但计划不具体、不完整、缺乏操作性或不具备实现条件，得5分；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机构没有年度工作计划，得0分。</w:t>
      </w:r>
    </w:p>
    <w:p w:rsidR="007E56D4" w:rsidRDefault="007E56D4" w:rsidP="007E56D4">
      <w:pPr>
        <w:pStyle w:val="ac"/>
        <w:spacing w:line="360" w:lineRule="exact"/>
        <w:ind w:firstLine="482"/>
        <w:rPr>
          <w:rFonts w:ascii="仿宋" w:eastAsia="仿宋" w:hAnsi="仿宋" w:cs="仿宋"/>
          <w:b/>
          <w:color w:val="000000"/>
          <w:sz w:val="24"/>
          <w:szCs w:val="24"/>
        </w:rPr>
      </w:pPr>
    </w:p>
    <w:p w:rsidR="007E56D4" w:rsidRDefault="007E56D4" w:rsidP="007E56D4">
      <w:pPr>
        <w:pStyle w:val="ac"/>
        <w:spacing w:line="360" w:lineRule="exact"/>
        <w:ind w:firstLine="482"/>
        <w:rPr>
          <w:rFonts w:ascii="仿宋" w:eastAsia="仿宋" w:hAnsi="仿宋" w:cs="仿宋"/>
          <w:b/>
          <w:color w:val="000000"/>
          <w:sz w:val="24"/>
          <w:szCs w:val="24"/>
        </w:rPr>
      </w:pPr>
      <w:r>
        <w:rPr>
          <w:rFonts w:ascii="仿宋" w:eastAsia="仿宋" w:hAnsi="仿宋" w:cs="仿宋" w:hint="eastAsia"/>
          <w:b/>
          <w:color w:val="000000"/>
          <w:sz w:val="24"/>
          <w:szCs w:val="24"/>
        </w:rPr>
        <w:lastRenderedPageBreak/>
        <w:t>1.3总结与反思（20分）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1.3.1 2015年年度工作总结（5分）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机构撰有完整、科学的工作总结，得5分；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机构撰有工作总结，但总结不完整，或不能全面反映机构运行情况，得2.5分；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机构没有工作总结，得0分。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1.3.2 年度目标达成（10分）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机构对年度工作目标达成情况进行测量，并对测量结果进行系统分析，且达标率为90%及以上，得10分；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机构对年度工作目标达成情况进行测量，对测量结果分析缺乏科学性或达标率为70%-89%，得5分；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机构未对年度工作目标进行测量或达标率低于69%（含69%），得0分。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1.3.3 工作改进计划（5分）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能够对机构年度工作情况进行全面反思，并有相应的改进计划，且计划具有科学性、可操作性，得5分；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能够进行反思，并设计改进计划，但反思与改进计划缺乏科学性与可操作性，得2.5分；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机构未进行反思或无改进计划，得0分。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1.4业务拓展/服务深化规划（10分）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1.4.1拓展/深化规划设计（5分）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对服务人群或项目业务的拓展或深化设计科学的发展路径，并形成规划方案，得5分；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有规划方案，但设计的路径不够科学，可操作性一般，得2.5分；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无规划方案，得0分。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1.4.2规划实施情况（5分）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严格按照规划方案实施，且有完整的执行记录，得5分；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部分未按规划实施，或执行记录不完整，得2.5分；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未按规划实施，得0分。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spacing w:line="360" w:lineRule="exact"/>
        <w:rPr>
          <w:rFonts w:ascii="仿宋" w:eastAsia="仿宋" w:hAnsi="仿宋" w:cs="仿宋"/>
          <w:b/>
          <w:color w:val="000000"/>
          <w:sz w:val="28"/>
          <w:szCs w:val="28"/>
        </w:rPr>
      </w:pPr>
      <w:r>
        <w:rPr>
          <w:rFonts w:ascii="仿宋" w:eastAsia="仿宋" w:hAnsi="仿宋" w:cs="仿宋" w:hint="eastAsia"/>
          <w:b/>
          <w:color w:val="000000"/>
          <w:sz w:val="28"/>
          <w:szCs w:val="28"/>
        </w:rPr>
        <w:t>第二部分：管理与执行（90分）</w:t>
      </w: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2.1服务管理机制（35分）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2.1.1制度类别（30分）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制度类别与内容多样、全面，能够针对机构服务发展现状，从服务设置、运作和监测等方面设计相应的管理制度，对服务进行科学管理，得30分；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制度类别单一，对服务的管理缺乏科学性，得15分；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无相关管理制度，得0分。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2.1.2监测策略（5分）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能够针对服务管理制度的执行设计相应的监测策略，策略能够科学监控制度的执行情况，得5分；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有监测策略，但缺乏科学性，监控效果一般，得2.5分；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无监测策略，得0分。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2.2服务执行与监管（25分）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2.2.1制度执行情况（15分）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能够严格按服务管理制度执行，并有执行记录，得15分；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部分内容未按服务管理制度执行，有部分执行记录，得8分；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完全未按服务管理制度执行，无执行记录，得0分。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2.2.2制度执行监管（10分）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能够对制度的执行情况进行科学、有效监控，并有监测记录，得10分；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能够对制度执行情况进行监控，但缺乏科学性和有效性，得5分；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未实施监控，无监测记录，得0分。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2.3服务管理成效（30分）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2.3.1管理体系（10分）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服务管理制度间存在逻辑关联，形成统一的管理体系，对规范服务开展有指导作用，得10分；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部分服务管理制度缺乏逻辑关联和系统性，指导和规范服务开展的作用一般，得5分；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服务管理制度间无关联，未成体系，得0分。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2.3.2督导评价（10分）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服务管理制度科学、有效、完备，有助于规范和推动服务开展，得10分；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服务管理制度缺乏科学性、有效性和不够完善，对服务的影响度一般，得5分；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无服务管理制度或管理制度未对服务产生影响，得0分。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2.3.3员工评价（10分）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服务管理制度科学、有效、完备，有助于规范和推动服务开展，得10分；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服务管理制度缺乏科学性、有效性和不够完善，对服务的影响度一般，得5分；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无服务管理制度或管理制度未对服务产生影响，得0分。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spacing w:line="360" w:lineRule="exact"/>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第三部分  财务运营（210分）</w:t>
      </w:r>
    </w:p>
    <w:p w:rsidR="007E56D4" w:rsidRDefault="007E56D4" w:rsidP="007E56D4">
      <w:pPr>
        <w:autoSpaceDE w:val="0"/>
        <w:autoSpaceDN w:val="0"/>
        <w:adjustRightInd w:val="0"/>
        <w:spacing w:line="360" w:lineRule="exact"/>
        <w:ind w:leftChars="200" w:left="420"/>
        <w:rPr>
          <w:rFonts w:ascii="仿宋" w:eastAsia="仿宋" w:hAnsi="仿宋" w:cs="仿宋"/>
          <w:color w:val="000000"/>
          <w:sz w:val="24"/>
        </w:rPr>
      </w:pPr>
      <w:r>
        <w:rPr>
          <w:rFonts w:ascii="仿宋" w:eastAsia="仿宋" w:hAnsi="仿宋" w:cs="仿宋" w:hint="eastAsia"/>
          <w:b/>
          <w:color w:val="000000"/>
          <w:sz w:val="24"/>
        </w:rPr>
        <w:t>3</w:t>
      </w:r>
      <w:r>
        <w:rPr>
          <w:rFonts w:ascii="仿宋" w:eastAsia="仿宋" w:hAnsi="仿宋" w:cs="仿宋"/>
          <w:b/>
          <w:color w:val="000000"/>
          <w:sz w:val="24"/>
        </w:rPr>
        <w:t>.1</w:t>
      </w:r>
      <w:r>
        <w:rPr>
          <w:rFonts w:ascii="仿宋" w:eastAsia="仿宋" w:hAnsi="仿宋" w:cs="仿宋" w:hint="eastAsia"/>
          <w:b/>
          <w:color w:val="000000"/>
          <w:sz w:val="24"/>
        </w:rPr>
        <w:t>财务管理机制</w:t>
      </w:r>
      <w:r>
        <w:rPr>
          <w:rFonts w:ascii="仿宋" w:eastAsia="仿宋" w:hAnsi="仿宋" w:cs="仿宋"/>
          <w:b/>
          <w:color w:val="000000"/>
          <w:sz w:val="24"/>
        </w:rPr>
        <w:t>（</w:t>
      </w:r>
      <w:r>
        <w:rPr>
          <w:rFonts w:ascii="仿宋" w:eastAsia="仿宋" w:hAnsi="仿宋" w:cs="仿宋" w:hint="eastAsia"/>
          <w:b/>
          <w:color w:val="000000"/>
          <w:sz w:val="24"/>
        </w:rPr>
        <w:t>45</w:t>
      </w:r>
      <w:r>
        <w:rPr>
          <w:rFonts w:ascii="仿宋" w:eastAsia="仿宋" w:hAnsi="仿宋" w:cs="仿宋"/>
          <w:b/>
          <w:color w:val="000000"/>
          <w:sz w:val="24"/>
        </w:rPr>
        <w:t>分）</w:t>
      </w:r>
    </w:p>
    <w:p w:rsidR="007E56D4" w:rsidRDefault="007E56D4" w:rsidP="007E56D4">
      <w:pPr>
        <w:autoSpaceDE w:val="0"/>
        <w:autoSpaceDN w:val="0"/>
        <w:adjustRightInd w:val="0"/>
        <w:spacing w:line="360" w:lineRule="exact"/>
        <w:ind w:firstLineChars="150" w:firstLine="36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color w:val="000000"/>
          <w:sz w:val="24"/>
        </w:rPr>
        <w:t>.1.1</w:t>
      </w:r>
      <w:r>
        <w:rPr>
          <w:rFonts w:ascii="仿宋" w:eastAsia="仿宋" w:hAnsi="仿宋" w:cs="仿宋" w:hint="eastAsia"/>
          <w:color w:val="000000"/>
          <w:sz w:val="24"/>
        </w:rPr>
        <w:t>经费审批程序：是否有事前经费申请、事后报销审批及经费预、决算分析等程序。</w:t>
      </w:r>
      <w:r>
        <w:rPr>
          <w:rFonts w:ascii="仿宋" w:eastAsia="仿宋" w:hAnsi="仿宋" w:cs="仿宋"/>
          <w:color w:val="000000"/>
          <w:sz w:val="24"/>
        </w:rPr>
        <w:t>（</w:t>
      </w:r>
      <w:r>
        <w:rPr>
          <w:rFonts w:ascii="仿宋" w:eastAsia="仿宋" w:hAnsi="仿宋" w:cs="仿宋" w:hint="eastAsia"/>
          <w:color w:val="000000"/>
          <w:sz w:val="24"/>
        </w:rPr>
        <w:t>10</w:t>
      </w:r>
      <w:r>
        <w:rPr>
          <w:rFonts w:ascii="仿宋" w:eastAsia="仿宋" w:hAnsi="仿宋" w:cs="仿宋"/>
          <w:color w:val="000000"/>
          <w:sz w:val="24"/>
        </w:rPr>
        <w:t>分）</w:t>
      </w:r>
      <w:r>
        <w:rPr>
          <w:rFonts w:ascii="仿宋" w:eastAsia="仿宋" w:hAnsi="仿宋" w:cs="仿宋"/>
          <w:color w:val="000000"/>
          <w:sz w:val="24"/>
        </w:rPr>
        <w:br/>
      </w:r>
      <w:r>
        <w:rPr>
          <w:rFonts w:ascii="仿宋" w:eastAsia="仿宋" w:hAnsi="仿宋" w:cs="仿宋" w:hint="eastAsia"/>
          <w:color w:val="000000"/>
          <w:sz w:val="24"/>
        </w:rPr>
        <w:t xml:space="preserve">    ①经费审批程序规范，得10分；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②有一种不规范情况，得5分；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③有两种不规范情况，得0分；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④有三种或以上不规范情况，得0分，并扣除总分30分。</w:t>
      </w:r>
      <w:r>
        <w:rPr>
          <w:rFonts w:ascii="仿宋" w:eastAsia="仿宋" w:hAnsi="仿宋" w:cs="仿宋"/>
          <w:color w:val="000000"/>
          <w:sz w:val="24"/>
        </w:rPr>
        <w:br/>
      </w:r>
      <w:r>
        <w:rPr>
          <w:rFonts w:ascii="仿宋" w:eastAsia="仿宋" w:hAnsi="仿宋" w:cs="仿宋"/>
          <w:color w:val="000000"/>
          <w:sz w:val="24"/>
        </w:rPr>
        <w:br/>
      </w:r>
      <w:r>
        <w:rPr>
          <w:rFonts w:ascii="仿宋" w:eastAsia="仿宋" w:hAnsi="仿宋" w:cs="仿宋" w:hint="eastAsia"/>
          <w:color w:val="000000"/>
          <w:sz w:val="24"/>
        </w:rPr>
        <w:t xml:space="preserve">    3</w:t>
      </w:r>
      <w:r>
        <w:rPr>
          <w:rFonts w:ascii="仿宋" w:eastAsia="仿宋" w:hAnsi="仿宋" w:cs="仿宋"/>
          <w:color w:val="000000"/>
          <w:sz w:val="24"/>
        </w:rPr>
        <w:t>.1.2</w:t>
      </w:r>
      <w:r>
        <w:rPr>
          <w:rFonts w:ascii="仿宋" w:eastAsia="仿宋" w:hAnsi="仿宋" w:cs="仿宋" w:hint="eastAsia"/>
          <w:color w:val="000000"/>
          <w:sz w:val="24"/>
        </w:rPr>
        <w:t>支出票据：是否存在仅凭收据报销、以不合格发票报销、大额发票未附明细清单等情况。</w:t>
      </w:r>
      <w:r>
        <w:rPr>
          <w:rFonts w:ascii="仿宋" w:eastAsia="仿宋" w:hAnsi="仿宋" w:cs="仿宋"/>
          <w:color w:val="000000"/>
          <w:sz w:val="24"/>
        </w:rPr>
        <w:t>（10分）</w:t>
      </w:r>
      <w:r>
        <w:rPr>
          <w:rFonts w:ascii="仿宋" w:eastAsia="仿宋" w:hAnsi="仿宋" w:cs="仿宋"/>
          <w:color w:val="000000"/>
          <w:sz w:val="24"/>
        </w:rPr>
        <w:br/>
      </w:r>
      <w:r>
        <w:rPr>
          <w:rFonts w:ascii="仿宋" w:eastAsia="仿宋" w:hAnsi="仿宋" w:cs="仿宋" w:hint="eastAsia"/>
          <w:color w:val="000000"/>
          <w:sz w:val="24"/>
        </w:rPr>
        <w:t xml:space="preserve">    ①支出票据规范，得10分；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②有一种不规范票据，得5分；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③有两种不规范票据，得0分；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④有三种或以上不规范票据，得0分，并扣除总分30分。</w:t>
      </w:r>
      <w:r>
        <w:rPr>
          <w:rFonts w:ascii="仿宋" w:eastAsia="仿宋" w:hAnsi="仿宋" w:cs="仿宋"/>
          <w:color w:val="000000"/>
          <w:sz w:val="24"/>
        </w:rPr>
        <w:br/>
      </w:r>
      <w:r>
        <w:rPr>
          <w:rFonts w:ascii="仿宋" w:eastAsia="仿宋" w:hAnsi="仿宋" w:cs="仿宋"/>
          <w:color w:val="000000"/>
          <w:sz w:val="24"/>
        </w:rPr>
        <w:br/>
      </w:r>
      <w:r>
        <w:rPr>
          <w:rFonts w:ascii="仿宋" w:eastAsia="仿宋" w:hAnsi="仿宋" w:cs="仿宋" w:hint="eastAsia"/>
          <w:color w:val="000000"/>
          <w:sz w:val="24"/>
        </w:rPr>
        <w:t xml:space="preserve">    3</w:t>
      </w:r>
      <w:r>
        <w:rPr>
          <w:rFonts w:ascii="仿宋" w:eastAsia="仿宋" w:hAnsi="仿宋" w:cs="仿宋"/>
          <w:color w:val="000000"/>
          <w:sz w:val="24"/>
        </w:rPr>
        <w:t>.1.3</w:t>
      </w:r>
      <w:r>
        <w:rPr>
          <w:rFonts w:ascii="仿宋" w:eastAsia="仿宋" w:hAnsi="仿宋" w:cs="仿宋" w:hint="eastAsia"/>
          <w:color w:val="000000"/>
          <w:sz w:val="24"/>
        </w:rPr>
        <w:t>结算方式：是否存在大额现金结算、无特殊原因时款项不直接支付给供应商或由第三方代机构支付款项等情况。</w:t>
      </w:r>
      <w:r>
        <w:rPr>
          <w:rFonts w:ascii="仿宋" w:eastAsia="仿宋" w:hAnsi="仿宋" w:cs="仿宋"/>
          <w:color w:val="000000"/>
          <w:sz w:val="24"/>
        </w:rPr>
        <w:t>（10分）</w:t>
      </w:r>
      <w:r>
        <w:rPr>
          <w:rFonts w:ascii="仿宋" w:eastAsia="仿宋" w:hAnsi="仿宋" w:cs="仿宋"/>
          <w:color w:val="000000"/>
          <w:sz w:val="24"/>
        </w:rPr>
        <w:br/>
      </w:r>
      <w:r>
        <w:rPr>
          <w:rFonts w:ascii="仿宋" w:eastAsia="仿宋" w:hAnsi="仿宋" w:cs="仿宋" w:hint="eastAsia"/>
          <w:color w:val="000000"/>
          <w:sz w:val="24"/>
        </w:rPr>
        <w:t xml:space="preserve">    ①结算方式规范，得10分；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②有一种不规范方式，得5分；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③有两种不规范方式，得0分；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④有三种或以上不规范方式，得0分，并扣除总分30分。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color w:val="000000"/>
          <w:sz w:val="24"/>
        </w:rPr>
        <w:t>.1.</w:t>
      </w:r>
      <w:r>
        <w:rPr>
          <w:rFonts w:ascii="仿宋" w:eastAsia="仿宋" w:hAnsi="仿宋" w:cs="仿宋" w:hint="eastAsia"/>
          <w:color w:val="000000"/>
          <w:sz w:val="24"/>
        </w:rPr>
        <w:t>4财务会计报告：机构年报中公开财务信息，并以电子版本形式在机构网站上提供公众下载查询。</w:t>
      </w:r>
      <w:r>
        <w:rPr>
          <w:rFonts w:ascii="仿宋" w:eastAsia="仿宋" w:hAnsi="仿宋" w:cs="仿宋"/>
          <w:color w:val="000000"/>
          <w:sz w:val="24"/>
        </w:rPr>
        <w:t>（10分）</w:t>
      </w:r>
      <w:r>
        <w:rPr>
          <w:rFonts w:ascii="仿宋" w:eastAsia="仿宋" w:hAnsi="仿宋" w:cs="仿宋"/>
          <w:color w:val="000000"/>
          <w:sz w:val="24"/>
        </w:rPr>
        <w:br/>
      </w:r>
      <w:r>
        <w:rPr>
          <w:rFonts w:ascii="仿宋" w:eastAsia="仿宋" w:hAnsi="仿宋" w:cs="仿宋" w:hint="eastAsia"/>
          <w:color w:val="000000"/>
          <w:sz w:val="24"/>
        </w:rPr>
        <w:t xml:space="preserve">    ①报告编制完整，所公开的财务信息可信、可靠，比较详实，得10分；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②报告编制不够完整或资料真实但欠详细，得5分；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③机构没有财务报告，得0分，并扣除总分30分。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color w:val="000000"/>
          <w:sz w:val="24"/>
        </w:rPr>
        <w:t>.1.</w:t>
      </w:r>
      <w:r>
        <w:rPr>
          <w:rFonts w:ascii="仿宋" w:eastAsia="仿宋" w:hAnsi="仿宋" w:cs="仿宋" w:hint="eastAsia"/>
          <w:color w:val="000000"/>
          <w:sz w:val="24"/>
        </w:rPr>
        <w:t>5财务报表业经审计：</w:t>
      </w:r>
      <w:r>
        <w:rPr>
          <w:rFonts w:ascii="仿宋" w:eastAsia="仿宋" w:hAnsi="仿宋" w:cs="仿宋"/>
          <w:color w:val="000000"/>
          <w:sz w:val="24"/>
        </w:rPr>
        <w:t>（</w:t>
      </w:r>
      <w:r>
        <w:rPr>
          <w:rFonts w:ascii="仿宋" w:eastAsia="仿宋" w:hAnsi="仿宋" w:cs="仿宋" w:hint="eastAsia"/>
          <w:color w:val="000000"/>
          <w:sz w:val="24"/>
        </w:rPr>
        <w:t>5</w:t>
      </w:r>
      <w:r>
        <w:rPr>
          <w:rFonts w:ascii="仿宋" w:eastAsia="仿宋" w:hAnsi="仿宋" w:cs="仿宋"/>
          <w:color w:val="000000"/>
          <w:sz w:val="24"/>
        </w:rPr>
        <w:t>分）</w:t>
      </w:r>
      <w:r>
        <w:rPr>
          <w:rFonts w:ascii="仿宋" w:eastAsia="仿宋" w:hAnsi="仿宋" w:cs="仿宋"/>
          <w:color w:val="000000"/>
          <w:sz w:val="24"/>
        </w:rPr>
        <w:br/>
      </w:r>
      <w:r>
        <w:rPr>
          <w:rFonts w:ascii="仿宋" w:eastAsia="仿宋" w:hAnsi="仿宋" w:cs="仿宋" w:hint="eastAsia"/>
          <w:color w:val="000000"/>
          <w:sz w:val="24"/>
        </w:rPr>
        <w:t>①年度会计报表业经会计师事务所审计，并出具无保留意见审计报告，得5分；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②年度会计报表业经会计师事务所审计，并出具除无保留意见外的其他类型审计报告，得0分；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③年度会计报表未经会计师事务所审计，得0分，并扣除总分20分。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3.2 政府资助款项使用（100分）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lastRenderedPageBreak/>
        <w:t>3.2.1 社会工作者工资：符合“1+7”文件及深民函【2012】395号《关于调整证明购买社工服务资金使用标准的通知》要求。（20分）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①完全符合标准，或高于标准要求，得20分；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②低于标准，但在5%以下，得15分；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③低于标准5%及以上，得10分;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④低于标准15%及以上，得5分;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⑤低于标准20%及以上，得0分，并扣除总分100分。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3.2.2 活动经费使用比例：指用于社工服务的直接活动经费的使用率（以每位社工每年0.24万元计）。（30分）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①比例在100％及以上，得30分；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②比例在90％－99％（含90%），得20分；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③比例在80％－89％（含80%），得10分；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④比例在70%-79％（含70%）以下，得0分。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3.2.3 本年度用于社工薪</w:t>
      </w:r>
      <w:proofErr w:type="gramStart"/>
      <w:r>
        <w:rPr>
          <w:rFonts w:ascii="仿宋" w:eastAsia="仿宋" w:hAnsi="仿宋" w:cs="仿宋" w:hint="eastAsia"/>
          <w:color w:val="000000"/>
          <w:sz w:val="24"/>
        </w:rPr>
        <w:t>酬</w:t>
      </w:r>
      <w:proofErr w:type="gramEnd"/>
      <w:r>
        <w:rPr>
          <w:rFonts w:ascii="仿宋" w:eastAsia="仿宋" w:hAnsi="仿宋" w:cs="仿宋" w:hint="eastAsia"/>
          <w:color w:val="000000"/>
          <w:sz w:val="24"/>
        </w:rPr>
        <w:t>福利开支与社工直接活动经费开支占政府资助款的总体比例：（40分）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①比例在100％及以上，得40分；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②比例在90%-99%（含90%），得30分；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③比例在80％－89％（含80%），得20分；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④比例在70％－79％（含70%），得10分；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⑤比例在70％以下，得0分。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3.2.4 机构是否已按照相关会计制度核算政府资助款项。（10分）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①机构已按照规定核算政府资助款项，且按项目明细核算，数据完整详实，得10分；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②机构已按照规定核算政府资助款项，核算基本符合规定，得5分;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③机构未按规定核算的，得0分。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3.3 财务健康（25分）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3.3.1 从财务审计结果中反映出的机构整体财务健康状况：（20分）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①机构财务状况良好，能做到收支平衡或略有盈余，得20分；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②收支基本平衡，得1-10分；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③财务状况恶劣，得0分，并扣除总分20分。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3.3.2 负责财务审计的会计师对收入结构、支出结构、内部收支平衡性、要素投入与产出、资金支出比例遵守的执行情况等总体评价。（5分）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①总体较好，得5分；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lastRenderedPageBreak/>
        <w:t>②总体一般，得2.5分；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③总体较差，得0分。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3.4 薪酬与保障（40分）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3.4.1 薪酬增长机制：即机构内部的员工职级晋升和工资增长机制（10分）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机构已经建立并严格执行，得10分；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机构已经建立但未严格执行，得5分;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机构没有建立，或已经建立但基本未执行，得0分。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3.4.2 全年薪酬报表：机构能提供包括全部受薪人员的每月薪</w:t>
      </w:r>
      <w:proofErr w:type="gramStart"/>
      <w:r>
        <w:rPr>
          <w:rFonts w:ascii="仿宋" w:eastAsia="仿宋" w:hAnsi="仿宋" w:cs="仿宋" w:hint="eastAsia"/>
          <w:color w:val="000000"/>
          <w:sz w:val="24"/>
        </w:rPr>
        <w:t>酬</w:t>
      </w:r>
      <w:proofErr w:type="gramEnd"/>
      <w:r>
        <w:rPr>
          <w:rFonts w:ascii="仿宋" w:eastAsia="仿宋" w:hAnsi="仿宋" w:cs="仿宋" w:hint="eastAsia"/>
          <w:color w:val="000000"/>
          <w:sz w:val="24"/>
        </w:rPr>
        <w:t>发放情况和社保购买情况的分月及全年统计表。（20分）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机构能出具，且记录完整，真实可信，得20分；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机构能出具，但记录不完整，或有信息遗漏，得10分；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机构不能出具，得0分。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4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④</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机构出具虚假</w:t>
      </w:r>
      <w:proofErr w:type="gramStart"/>
      <w:r w:rsidR="007E56D4">
        <w:rPr>
          <w:rFonts w:ascii="仿宋" w:eastAsia="仿宋" w:hAnsi="仿宋" w:cs="仿宋" w:hint="eastAsia"/>
          <w:color w:val="000000"/>
          <w:sz w:val="24"/>
        </w:rPr>
        <w:t>薪</w:t>
      </w:r>
      <w:proofErr w:type="gramEnd"/>
      <w:r w:rsidR="007E56D4">
        <w:rPr>
          <w:rFonts w:ascii="仿宋" w:eastAsia="仿宋" w:hAnsi="仿宋" w:cs="仿宋" w:hint="eastAsia"/>
          <w:color w:val="000000"/>
          <w:sz w:val="24"/>
        </w:rPr>
        <w:t>酬报表，将视为严重作假行为，扣除总分100分，并报评估委员会讨论后续处理方案。</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3.4.3 空岗情况（10分）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机构不存在空岗现象，得10分；</w:t>
      </w:r>
    </w:p>
    <w:p w:rsidR="007E56D4" w:rsidRDefault="00BD64C1"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机构存在1-3个月（含3个月）空岗情况，得5分；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③存在3个月以上的空岗，得0分。</w:t>
      </w:r>
    </w:p>
    <w:p w:rsidR="007E56D4" w:rsidRDefault="007E56D4" w:rsidP="007E56D4">
      <w:pPr>
        <w:spacing w:line="360" w:lineRule="exact"/>
        <w:ind w:firstLineChars="147" w:firstLine="413"/>
        <w:rPr>
          <w:rFonts w:ascii="仿宋" w:eastAsia="仿宋" w:hAnsi="仿宋" w:cs="仿宋"/>
          <w:b/>
          <w:color w:val="000000"/>
          <w:sz w:val="28"/>
          <w:szCs w:val="28"/>
        </w:rPr>
      </w:pPr>
    </w:p>
    <w:p w:rsidR="007E56D4" w:rsidRDefault="007E56D4" w:rsidP="007E56D4">
      <w:pPr>
        <w:spacing w:line="360" w:lineRule="exact"/>
        <w:ind w:firstLineChars="147" w:firstLine="413"/>
        <w:rPr>
          <w:rFonts w:ascii="仿宋" w:eastAsia="仿宋" w:hAnsi="仿宋" w:cs="仿宋"/>
          <w:b/>
          <w:color w:val="000000"/>
          <w:sz w:val="28"/>
          <w:szCs w:val="28"/>
        </w:rPr>
      </w:pPr>
      <w:r>
        <w:rPr>
          <w:rFonts w:ascii="仿宋" w:eastAsia="仿宋" w:hAnsi="仿宋" w:cs="仿宋" w:hint="eastAsia"/>
          <w:b/>
          <w:color w:val="000000"/>
          <w:sz w:val="28"/>
          <w:szCs w:val="28"/>
        </w:rPr>
        <w:t>第四部分  支持与推进（285分）</w:t>
      </w:r>
    </w:p>
    <w:p w:rsidR="007E56D4" w:rsidRDefault="007E56D4" w:rsidP="007E56D4">
      <w:pPr>
        <w:autoSpaceDE w:val="0"/>
        <w:autoSpaceDN w:val="0"/>
        <w:adjustRightInd w:val="0"/>
        <w:spacing w:line="360" w:lineRule="exact"/>
        <w:ind w:firstLineChars="196" w:firstLine="470"/>
        <w:rPr>
          <w:rFonts w:ascii="仿宋" w:eastAsia="仿宋" w:hAnsi="仿宋" w:cs="仿宋"/>
          <w:color w:val="000000"/>
          <w:sz w:val="24"/>
        </w:rPr>
      </w:pPr>
      <w:r>
        <w:rPr>
          <w:rFonts w:ascii="仿宋" w:eastAsia="仿宋" w:hAnsi="仿宋" w:cs="仿宋" w:hint="eastAsia"/>
          <w:color w:val="000000"/>
          <w:sz w:val="24"/>
        </w:rPr>
        <w:t>4.1.1专业培训机制（5分）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有针对社会工作者及其他工作人员的专业培训机制，且机制设计科学合理，得5分；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有专业培训机制，但内容不够全面，缺乏科学性，得2.5分；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无专业培训机制，得0分。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4.1.2培训工作执行（10分）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能够严格按照专业培训机制执行，有执行记录，得10分；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部分未按照机制执行或部分无执行记录，得5分；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w:t>
      </w:r>
      <w:proofErr w:type="gramStart"/>
      <w:r w:rsidR="007E56D4">
        <w:rPr>
          <w:rFonts w:ascii="仿宋" w:eastAsia="仿宋" w:hAnsi="仿宋" w:cs="仿宋" w:hint="eastAsia"/>
          <w:color w:val="000000"/>
          <w:sz w:val="24"/>
        </w:rPr>
        <w:t>按机制</w:t>
      </w:r>
      <w:proofErr w:type="gramEnd"/>
      <w:r w:rsidR="007E56D4">
        <w:rPr>
          <w:rFonts w:ascii="仿宋" w:eastAsia="仿宋" w:hAnsi="仿宋" w:cs="仿宋" w:hint="eastAsia"/>
          <w:color w:val="000000"/>
          <w:sz w:val="24"/>
        </w:rPr>
        <w:t>执行或无执行记录，得0分。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4.1.3培训质量（10分）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培训内容多样且切合工作需要，培训质量较高，有助于提升专业能力，得10分；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培训内容较单一，基本切合工作需要，培训质量一般，得5分；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培训内容未切合工作需要，培训质量较差，得0分。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4.1.4服务技能培训（60分）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服务技能培训计划的实施与总结，得0-10分；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注册社工本年度继续教育的学时完成情况，得0-10分；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一线社工参加培训的正常到课率，得0-10分；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④新上岗社工参加岗前培训及考试的合格率，得0-10分；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⑤机构自行组织并</w:t>
      </w:r>
      <w:proofErr w:type="gramStart"/>
      <w:r>
        <w:rPr>
          <w:rFonts w:ascii="仿宋" w:eastAsia="仿宋" w:hAnsi="仿宋" w:cs="仿宋" w:hint="eastAsia"/>
          <w:color w:val="000000"/>
          <w:sz w:val="24"/>
        </w:rPr>
        <w:t>由社协评审</w:t>
      </w:r>
      <w:proofErr w:type="gramEnd"/>
      <w:r>
        <w:rPr>
          <w:rFonts w:ascii="仿宋" w:eastAsia="仿宋" w:hAnsi="仿宋" w:cs="仿宋" w:hint="eastAsia"/>
          <w:color w:val="000000"/>
          <w:sz w:val="24"/>
        </w:rPr>
        <w:t>通过的社工培训的数量和质量，得0-10分；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⑥机构承办、协办或统筹市社</w:t>
      </w:r>
      <w:proofErr w:type="gramStart"/>
      <w:r>
        <w:rPr>
          <w:rFonts w:ascii="仿宋" w:eastAsia="仿宋" w:hAnsi="仿宋" w:cs="仿宋" w:hint="eastAsia"/>
          <w:color w:val="000000"/>
          <w:sz w:val="24"/>
        </w:rPr>
        <w:t>协委托</w:t>
      </w:r>
      <w:proofErr w:type="gramEnd"/>
      <w:r>
        <w:rPr>
          <w:rFonts w:ascii="仿宋" w:eastAsia="仿宋" w:hAnsi="仿宋" w:cs="仿宋" w:hint="eastAsia"/>
          <w:color w:val="000000"/>
          <w:sz w:val="24"/>
        </w:rPr>
        <w:t>的社工培训的数量和质量，得0-5分；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⑦机构法人/理事长/总干事参加年度社会工作相关学习的情况，得0-5分。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4.1.5督导机制：指机构对于顾问、初级督导、督导助理和受督导员工的权利和职责有清晰定位。（5分）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①机构有较完善的内部督导制度，且符合专业要求，得5分；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②有督导制度，但制度内容不够完善，得2.5分；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③机构没有督导制度或不符合专业要求，得0分。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4.1.6督导人才的培养（20分）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①机构有培养内部督导人才的计划和举措，并执行力度大，得20分；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②机构有培养内部督导人才的计划，执行力度一般，得10分；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③没有建立相关培养内部督导人才的制度，得0分。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4.1.7 配合督导（顾问）工作：机构能积极支持、配合督导（顾问）工作，指机构主动了解督导（顾问）的工作需求，并及时给予支持和协助，使得督导（顾问）工作顺利开展。（10分）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①机构配合良好，得6-10分；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②机构配合一般，得1-5分；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③机构欠缺配合支持，得0分。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4.1.8与督导（顾问）沟通情况：机构管理层能主动与督导（顾问）保持沟通，并听取相关建议。（10分）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①沟通良好，得6-10分；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②一般，得1-5分；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③欠缺沟通，得0分。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4.2业务指导（30分）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4.2.1入职启导：指机构能为新员工提供入职启导培训，对工作岗位的环境、特点、工作流程、工作技巧等相关内容进行培训，协助员工尽快适应新的工作岗</w:t>
      </w:r>
      <w:r>
        <w:rPr>
          <w:rFonts w:ascii="仿宋" w:eastAsia="仿宋" w:hAnsi="仿宋" w:cs="仿宋" w:hint="eastAsia"/>
          <w:color w:val="000000"/>
          <w:sz w:val="24"/>
        </w:rPr>
        <w:lastRenderedPageBreak/>
        <w:t>位。（5分）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有启导培训，培训内容详实，设计合理，得5分；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有启导培训，但内容和设计不够完善，得2.5分；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无相关培训，得0分。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4.2.2咨询与指导执行（10分）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当员工在工作过程中遇到服务资源信息缺乏、与合作单位沟通不畅等困难和问题时，机构能够积极为员工提供全面的业务咨询与指导，得10分；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当员工在工作中遇到困难和问题时，能够提供咨询与指导，但提供的信息不够全面、具体，得5分；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未提供咨询与指导，得0分。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4.2.3应急事件处理（5分） </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对服务过程中突发事件，能够及时介入，积极协助员工处理，得5分；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介入不够及时或为员工提供的支持度不足，得2.5分；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未参与应急事件处理，得0分。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4.3资源链接（25分）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4.3.1资源库建立（5分）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为支持服务的开展，积极拓展资源,形成了资源信息库，得5分；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未建立资源库，得0分。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4.3.2链接工作执行（10分）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能够向社工所开展的服务积极提供全面、多样的外部资源信息，并协助链接相关资源，得10分；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能够提供外部资源信息，但资源信息较单一，不够充分，协助链接资源的力度一般，得5分；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未提供外部资源信息或未协助链接资源，得0分。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4.3.3资源效益（10分）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所链接的资源有助于推动服务的开展和提升服务质量，为服务对象带来较大的效益，得10分；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所链接的资源对服务的开展和服务对象的影响度一般，得5分；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未产生资源效益，得0分。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4.4资源投入（20分）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4.4.1投入计划（5分）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能够针对既有的服务/项目设计科学、全面的资源投入计划，有计划地推</w:t>
      </w:r>
      <w:r w:rsidR="007E56D4">
        <w:rPr>
          <w:rFonts w:ascii="仿宋" w:eastAsia="仿宋" w:hAnsi="仿宋" w:cs="仿宋" w:hint="eastAsia"/>
          <w:color w:val="000000"/>
          <w:sz w:val="24"/>
        </w:rPr>
        <w:lastRenderedPageBreak/>
        <w:t>动资源的合理利用，得5分；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有投入计划，但计划设计不够合理，缺乏指导性和可操作性，得2.5分；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无相关计划，得0分。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4.4.2资源与服务匹配度（5分）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所投入的资源能够完全满足服务开展的需要，得5分；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投入了资源，但资源量不足或类型单一，不足以满足服务开展的需要，得2.5分；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未投入资源，得0分。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pStyle w:val="ac"/>
        <w:spacing w:line="360" w:lineRule="exact"/>
        <w:ind w:firstLine="482"/>
        <w:rPr>
          <w:rFonts w:ascii="仿宋" w:eastAsia="仿宋" w:hAnsi="仿宋" w:cs="仿宋"/>
          <w:b/>
          <w:color w:val="000000"/>
          <w:sz w:val="24"/>
          <w:szCs w:val="24"/>
        </w:rPr>
      </w:pPr>
      <w:r>
        <w:rPr>
          <w:rFonts w:ascii="仿宋" w:eastAsia="仿宋" w:hAnsi="仿宋" w:cs="仿宋" w:hint="eastAsia"/>
          <w:b/>
          <w:color w:val="000000"/>
          <w:sz w:val="24"/>
        </w:rPr>
        <w:t>4.5</w:t>
      </w:r>
      <w:r>
        <w:rPr>
          <w:rFonts w:ascii="仿宋" w:eastAsia="仿宋" w:hAnsi="仿宋" w:cs="仿宋" w:hint="eastAsia"/>
          <w:b/>
          <w:color w:val="000000"/>
          <w:sz w:val="24"/>
          <w:szCs w:val="24"/>
        </w:rPr>
        <w:t>品牌管理与推广（40分）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4.5.1品牌管理规划（5分）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已制定发展规划，且制定科学、合理，得5分；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已制定发展规划，但缺乏科学性与可操作性，得2.5分；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无发展规划，得0分。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4.5.2 规划执行情况（10分）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按照规划严格执行，有完整的执行记录，得10分；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部分未按规划执行或执行记录不完整，得5分；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未按规划执行，得0分。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4.5.3品牌推广（5分）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积极推广服务品牌，推广形式多样，</w:t>
      </w:r>
      <w:proofErr w:type="gramStart"/>
      <w:r w:rsidR="007E56D4">
        <w:rPr>
          <w:rFonts w:ascii="仿宋" w:eastAsia="仿宋" w:hAnsi="仿宋" w:cs="仿宋" w:hint="eastAsia"/>
          <w:color w:val="000000"/>
          <w:sz w:val="24"/>
        </w:rPr>
        <w:t>且宣传</w:t>
      </w:r>
      <w:proofErr w:type="gramEnd"/>
      <w:r w:rsidR="007E56D4">
        <w:rPr>
          <w:rFonts w:ascii="仿宋" w:eastAsia="仿宋" w:hAnsi="仿宋" w:cs="仿宋" w:hint="eastAsia"/>
          <w:color w:val="000000"/>
          <w:sz w:val="24"/>
        </w:rPr>
        <w:t>范围覆盖全市，得5分；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能够推广品牌，但推广形式单一或宣传的范围仅覆盖区或街道，得2.5分；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proofErr w:type="gramStart"/>
      <w:r w:rsidR="007E56D4">
        <w:rPr>
          <w:rFonts w:ascii="仿宋" w:eastAsia="仿宋" w:hAnsi="仿宋" w:cs="仿宋" w:hint="eastAsia"/>
          <w:color w:val="000000"/>
          <w:sz w:val="24"/>
        </w:rPr>
        <w:t>未推广</w:t>
      </w:r>
      <w:proofErr w:type="gramEnd"/>
      <w:r w:rsidR="007E56D4">
        <w:rPr>
          <w:rFonts w:ascii="仿宋" w:eastAsia="仿宋" w:hAnsi="仿宋" w:cs="仿宋" w:hint="eastAsia"/>
          <w:color w:val="000000"/>
          <w:sz w:val="24"/>
        </w:rPr>
        <w:t>品牌，得0分。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4.5.4品牌效应（20分）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品牌服务覆盖省级及以上区域，获得了有关单位的良好评价，得20分；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覆盖全市，获得了有关单位的良好评价，得10分；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proofErr w:type="gramStart"/>
      <w:r w:rsidR="007E56D4">
        <w:rPr>
          <w:rFonts w:ascii="仿宋" w:eastAsia="仿宋" w:hAnsi="仿宋" w:cs="仿宋" w:hint="eastAsia"/>
          <w:color w:val="000000"/>
          <w:sz w:val="24"/>
        </w:rPr>
        <w:t>覆盖部</w:t>
      </w:r>
      <w:proofErr w:type="gramEnd"/>
      <w:r w:rsidR="007E56D4">
        <w:rPr>
          <w:rFonts w:ascii="仿宋" w:eastAsia="仿宋" w:hAnsi="仿宋" w:cs="仿宋" w:hint="eastAsia"/>
          <w:color w:val="000000"/>
          <w:sz w:val="24"/>
        </w:rPr>
        <w:t>分区级区域，获得了有关单位的良好评价，得5分；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④未开展品牌服务或未形成品牌效益，得0分。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4.6支持度评价（20分）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4.6.1督导评价（10分）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机构为保证服务顺利开展，给予大力支持，支持工作开展及时、全面，得6-10分；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为服务提供了支持，但支持的力度一般，支持工作开展不够及时，得1-5分；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未提供任何支持，得0分。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4.6.2员工评价（10分）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机构为保证服务顺利开展，给予大力支持，支持工作开展及时、全面，得6-10分；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为服务提供了支持，但支持的力度一般，支持工作开展不够及时，得1-5分；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未提供任何支持，得0分。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4.7服务研究与创新（35分）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4.7.1研究机制（5分）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机构制定了比较完善的相关鼓励服务项目研究的机制，得5分；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制定的相关鼓励服务项目研究的机制不够完善，得2.5分；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未制定鼓励服务研究和项目研发的机制，得0分。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4.7.2研发项目（10分）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①机构已开展自主项目研发工作，具有完善的项目方案设计，得10分；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②已开展项目研发，但项目方案缺乏科学性与可操作性，得5分；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未进行任何项目研发，得0分。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4.7.3研发项目开展：指机构在政府购买岗位和资助项目之外，为回应社会需求，在项目研发的基础上，得到企业、基金会等资助，从事社会公益服务项目。（10分）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①机构已获得社会公益资金支持，并完整运作公益项目，且成效显著，反应良好，得10分；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②已尝试性开展自主项目运作，但未获得社会公益资金支持</w:t>
      </w:r>
      <w:proofErr w:type="gramStart"/>
      <w:r>
        <w:rPr>
          <w:rFonts w:ascii="仿宋" w:eastAsia="仿宋" w:hAnsi="仿宋" w:cs="仿宋" w:hint="eastAsia"/>
          <w:color w:val="000000"/>
          <w:sz w:val="24"/>
        </w:rPr>
        <w:t>或成效</w:t>
      </w:r>
      <w:proofErr w:type="gramEnd"/>
      <w:r>
        <w:rPr>
          <w:rFonts w:ascii="仿宋" w:eastAsia="仿宋" w:hAnsi="仿宋" w:cs="仿宋" w:hint="eastAsia"/>
          <w:color w:val="000000"/>
          <w:sz w:val="24"/>
        </w:rPr>
        <w:t>一般，得5分；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未进行任何自主研发项目运作，得0分。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4.7.4研究成果发表（10分）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①在专业服务中积极探索新的专业理论或服务技术，形成研究性文章，并在省级及以上的学术刊物上发表，得10分；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②有研究性文章，并在市级学术刊物上发表，得5分；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有研究性文章，并在区级及以上刊物上发表，得2.5分；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④未发表成果，得0分。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4.8激励措施（15分）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4.8.1激励制度（5分）：指机构为推动服务开展，对服务中取得较好成效或</w:t>
      </w:r>
      <w:r>
        <w:rPr>
          <w:rFonts w:ascii="仿宋" w:eastAsia="仿宋" w:hAnsi="仿宋" w:cs="仿宋" w:hint="eastAsia"/>
          <w:color w:val="000000"/>
          <w:sz w:val="24"/>
        </w:rPr>
        <w:lastRenderedPageBreak/>
        <w:t>有突出贡献的员工进行激励的制度。</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1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①</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机构制定了比较完善的员工激励制度，得5分；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2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②</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激励制度不完善或可操作性不强，得2.5分；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未制定激励制度，得0分。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4.8.2激励工作执行（10分）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①严格按照激励制度执行，得10分；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②激励制度执行力度不足，得5分；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未按制度执行，得0分。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spacing w:line="360" w:lineRule="exact"/>
        <w:rPr>
          <w:rFonts w:ascii="仿宋" w:eastAsia="仿宋" w:hAnsi="仿宋" w:cs="仿宋"/>
          <w:b/>
          <w:color w:val="000000"/>
          <w:sz w:val="28"/>
          <w:szCs w:val="28"/>
        </w:rPr>
      </w:pPr>
      <w:r>
        <w:rPr>
          <w:rFonts w:ascii="仿宋" w:eastAsia="仿宋" w:hAnsi="仿宋" w:cs="仿宋" w:hint="eastAsia"/>
          <w:b/>
          <w:color w:val="000000"/>
          <w:sz w:val="28"/>
          <w:szCs w:val="28"/>
        </w:rPr>
        <w:t>第五部分：监控与验收（165分）</w:t>
      </w: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5.1成效测评（70分）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5.1.1成效测评机制（20分）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①形成了科学的成效测评机制，有相关的测评工具及使用指引，得20分；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②形成了测评机制，但机制内容不够完善、缺乏可操作性，得10分；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未形成测评机制，得0分。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5.1.2测评机制执行（20分）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①严格按照测评机制执行，并形成科学的服务成效报告，得20分；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②测评机制执行力度不足或服务成效报告分析缺乏科学性，得10分；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已开展测评工作，但未按测评机制执行或无服务成效报告，得5分；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④未开展测评工作，得0分。 </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5.1.3定期检讨（20分）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①服务成效的测评与检讨工作每季度开展一次及以上，得20分；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②每半年开展一次，得10分；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每年开展一次，得5分；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④未开展测评工作，得0分。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5.1.4测评结果处理与跟进（10分）： </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①对成效测评中发现的问题及时、全面改进，能够跟进改进效果，改进工作对服务/工作的改善带来一定效益，得10分；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②对成效测评中发现的问题能够改进，但改进效果一般或未跟进改进效果，得5分；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未对测评结果进行处理，得0分。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5.2民意测评（50分）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5.2.1民意测评机制（20分）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①有科学的民意测评机制及测评工具，测评主体和测评方式多样，测评内容全面，得20分；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②有民意测评机制及测评工具，但内容不够科学和全面或测评主体和方式单一，得10分；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仅有民意</w:t>
      </w:r>
      <w:proofErr w:type="gramStart"/>
      <w:r w:rsidR="007E56D4">
        <w:rPr>
          <w:rFonts w:ascii="仿宋" w:eastAsia="仿宋" w:hAnsi="仿宋" w:cs="仿宋" w:hint="eastAsia"/>
          <w:color w:val="000000"/>
          <w:sz w:val="24"/>
        </w:rPr>
        <w:t>测机制</w:t>
      </w:r>
      <w:proofErr w:type="gramEnd"/>
      <w:r w:rsidR="007E56D4">
        <w:rPr>
          <w:rFonts w:ascii="仿宋" w:eastAsia="仿宋" w:hAnsi="仿宋" w:cs="仿宋" w:hint="eastAsia"/>
          <w:color w:val="000000"/>
          <w:sz w:val="24"/>
        </w:rPr>
        <w:t>或测评工具，得5分；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④无民意测评机制和测评工具，得0分。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5.2.2测评工作执行（20分）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①严格按照民意测评机制执行，并对测评结果进行科学分析，得20分；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②民意测评机制执行力度不足或测评结果分析缺乏科学性，得10分；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未开展民意测评工作或未对测评结果进行分析，得0分。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5.2.3意见收集与投诉处理（10分）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①机构有鼓励及协助服务对象表达对于服务及机构意见的政策和程序，</w:t>
      </w:r>
      <w:proofErr w:type="gramStart"/>
      <w:r>
        <w:rPr>
          <w:rFonts w:ascii="仿宋" w:eastAsia="仿宋" w:hAnsi="仿宋" w:cs="仿宋" w:hint="eastAsia"/>
          <w:color w:val="000000"/>
          <w:sz w:val="24"/>
        </w:rPr>
        <w:t>且意见</w:t>
      </w:r>
      <w:proofErr w:type="gramEnd"/>
      <w:r>
        <w:rPr>
          <w:rFonts w:ascii="仿宋" w:eastAsia="仿宋" w:hAnsi="仿宋" w:cs="仿宋" w:hint="eastAsia"/>
          <w:color w:val="000000"/>
          <w:sz w:val="24"/>
        </w:rPr>
        <w:t>及投诉记录在案，处理、跟进妥当，得10分；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②有政策和程序，意见及投诉记录在案，但处理欠妥当，得5分；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③无相关政策和程序或意见和投诉没有记录，得０分。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5.3绩效考核（35分）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5.3.1绩效考核制度（10分）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①制定了科学、完善的绩效考核制度及工具，考核主体多元，考核内容全面，得10分；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②有绩效考核制度及工具，但缺乏科学性，考核主体和内容单一，得5分；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③仅有制定考核制度或工具，得2.5分。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w:t>
      </w:r>
      <w:proofErr w:type="gramStart"/>
      <w:r>
        <w:rPr>
          <w:rFonts w:ascii="仿宋" w:eastAsia="仿宋" w:hAnsi="仿宋" w:cs="仿宋" w:hint="eastAsia"/>
          <w:color w:val="000000"/>
          <w:sz w:val="24"/>
        </w:rPr>
        <w:t>无考核</w:t>
      </w:r>
      <w:proofErr w:type="gramEnd"/>
      <w:r>
        <w:rPr>
          <w:rFonts w:ascii="仿宋" w:eastAsia="仿宋" w:hAnsi="仿宋" w:cs="仿宋" w:hint="eastAsia"/>
          <w:color w:val="000000"/>
          <w:sz w:val="24"/>
        </w:rPr>
        <w:t>制度和工具，得0分。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5.3.2绩效考核执行（10分）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①严格按照考核机制执行，得10分；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②绩效考核机制执行力度不足，得5分；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未开展绩效考核工作，得0分。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5.3.3定期考核（10分）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①绩效考核工作每季度开展一次及以上，得10分；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②每半年开展一次，得6分；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每年开展一次，得3分；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④未开展考核工作，得0分。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5.3.4考核结果运用（5分）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①机构能够将绩效考核的结果作为员工职级晋升、薪酬调整与惩罚等参考依据，得5分；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②未对考核结果进行运用，得0分。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5.4项目验收（10分）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5.4.1验收制度（5分）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①对项目/服务在合同期满时是否达致要求，有科学的项目验收规范和工具，验收方式多元，得5分；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②有项目验收规范或工具，但缺乏科学性，验收方式单一，得2.5分；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无验收制度和工具，得0分。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5.4.2验收措施（5分）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①能够严格按照项目验收规范对项目/服务进行验收，得5分；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②验收制度执行力度不足，得2.5分；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未实施验收制度，得0分。</w:t>
      </w:r>
    </w:p>
    <w:p w:rsidR="007E56D4" w:rsidRDefault="007E56D4" w:rsidP="007E56D4">
      <w:pPr>
        <w:autoSpaceDE w:val="0"/>
        <w:autoSpaceDN w:val="0"/>
        <w:adjustRightInd w:val="0"/>
        <w:spacing w:line="360" w:lineRule="exact"/>
        <w:rPr>
          <w:rFonts w:ascii="仿宋" w:eastAsia="仿宋" w:hAnsi="仿宋" w:cs="仿宋"/>
          <w:color w:val="000000"/>
          <w:sz w:val="24"/>
        </w:rPr>
      </w:pPr>
    </w:p>
    <w:p w:rsidR="007E56D4" w:rsidRDefault="007E56D4" w:rsidP="007E56D4">
      <w:pPr>
        <w:spacing w:line="360" w:lineRule="exact"/>
        <w:rPr>
          <w:rFonts w:ascii="仿宋" w:eastAsia="仿宋" w:hAnsi="仿宋" w:cs="仿宋"/>
          <w:b/>
          <w:color w:val="000000"/>
          <w:sz w:val="28"/>
          <w:szCs w:val="28"/>
        </w:rPr>
      </w:pPr>
      <w:r>
        <w:rPr>
          <w:rFonts w:ascii="仿宋" w:eastAsia="仿宋" w:hAnsi="仿宋" w:cs="仿宋" w:hint="eastAsia"/>
          <w:b/>
          <w:color w:val="000000"/>
          <w:sz w:val="28"/>
          <w:szCs w:val="28"/>
        </w:rPr>
        <w:t>第六部分：机构成果（170分）</w:t>
      </w:r>
    </w:p>
    <w:p w:rsidR="007E56D4" w:rsidRDefault="007E56D4" w:rsidP="007E56D4">
      <w:pPr>
        <w:autoSpaceDE w:val="0"/>
        <w:autoSpaceDN w:val="0"/>
        <w:adjustRightInd w:val="0"/>
        <w:spacing w:line="360" w:lineRule="exact"/>
        <w:ind w:firstLineChars="250" w:firstLine="602"/>
        <w:rPr>
          <w:rFonts w:ascii="仿宋" w:eastAsia="仿宋" w:hAnsi="仿宋" w:cs="仿宋"/>
          <w:b/>
          <w:color w:val="000000"/>
          <w:sz w:val="24"/>
        </w:rPr>
      </w:pPr>
      <w:r>
        <w:rPr>
          <w:rFonts w:ascii="仿宋" w:eastAsia="仿宋" w:hAnsi="仿宋" w:cs="仿宋" w:hint="eastAsia"/>
          <w:b/>
          <w:color w:val="000000"/>
          <w:sz w:val="24"/>
        </w:rPr>
        <w:t>6.1获奖</w:t>
      </w:r>
      <w:r>
        <w:rPr>
          <w:rStyle w:val="aa"/>
          <w:rFonts w:ascii="仿宋" w:eastAsia="仿宋" w:hAnsi="仿宋"/>
          <w:b/>
          <w:color w:val="000000"/>
          <w:sz w:val="24"/>
        </w:rPr>
        <w:footnoteReference w:id="2"/>
      </w:r>
      <w:r>
        <w:rPr>
          <w:rFonts w:ascii="仿宋" w:eastAsia="仿宋" w:hAnsi="仿宋" w:cs="仿宋" w:hint="eastAsia"/>
          <w:b/>
          <w:color w:val="000000"/>
          <w:sz w:val="24"/>
        </w:rPr>
        <w:t>情况（70分）</w:t>
      </w:r>
    </w:p>
    <w:p w:rsidR="007E56D4" w:rsidRDefault="007E56D4" w:rsidP="007E56D4">
      <w:pPr>
        <w:autoSpaceDE w:val="0"/>
        <w:autoSpaceDN w:val="0"/>
        <w:adjustRightInd w:val="0"/>
        <w:spacing w:line="360" w:lineRule="exact"/>
        <w:ind w:firstLineChars="250" w:firstLine="600"/>
        <w:rPr>
          <w:rFonts w:ascii="仿宋" w:eastAsia="仿宋" w:hAnsi="仿宋" w:cs="仿宋"/>
          <w:color w:val="000000"/>
          <w:sz w:val="24"/>
        </w:rPr>
      </w:pPr>
      <w:r>
        <w:rPr>
          <w:rFonts w:ascii="仿宋" w:eastAsia="仿宋" w:hAnsi="仿宋" w:cs="仿宋" w:hint="eastAsia"/>
          <w:color w:val="000000"/>
          <w:sz w:val="24"/>
        </w:rPr>
        <w:t>6.1.1员工获奖（10分）：各项分值加</w:t>
      </w:r>
      <w:proofErr w:type="gramStart"/>
      <w:r>
        <w:rPr>
          <w:rFonts w:ascii="仿宋" w:eastAsia="仿宋" w:hAnsi="仿宋" w:cs="仿宋" w:hint="eastAsia"/>
          <w:color w:val="000000"/>
          <w:sz w:val="24"/>
        </w:rPr>
        <w:t>总最高</w:t>
      </w:r>
      <w:proofErr w:type="gramEnd"/>
      <w:r>
        <w:rPr>
          <w:rFonts w:ascii="仿宋" w:eastAsia="仿宋" w:hAnsi="仿宋" w:cs="仿宋" w:hint="eastAsia"/>
          <w:color w:val="000000"/>
          <w:sz w:val="24"/>
        </w:rPr>
        <w:t>不超过10分。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①获得省级及以上奖项，每项2分；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②获得市级奖项，每项1分；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获得区级及以下奖项，每项0.5分。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50" w:firstLine="600"/>
        <w:rPr>
          <w:rFonts w:ascii="仿宋" w:eastAsia="仿宋" w:hAnsi="仿宋" w:cs="仿宋"/>
          <w:color w:val="000000"/>
          <w:sz w:val="24"/>
        </w:rPr>
      </w:pPr>
      <w:r>
        <w:rPr>
          <w:rFonts w:ascii="仿宋" w:eastAsia="仿宋" w:hAnsi="仿宋" w:cs="仿宋" w:hint="eastAsia"/>
          <w:color w:val="000000"/>
          <w:sz w:val="24"/>
        </w:rPr>
        <w:t>6.1.2 专业获奖（20分）：以专业类奖项为准，各项分值加</w:t>
      </w:r>
      <w:proofErr w:type="gramStart"/>
      <w:r>
        <w:rPr>
          <w:rFonts w:ascii="仿宋" w:eastAsia="仿宋" w:hAnsi="仿宋" w:cs="仿宋" w:hint="eastAsia"/>
          <w:color w:val="000000"/>
          <w:sz w:val="24"/>
        </w:rPr>
        <w:t>总最高</w:t>
      </w:r>
      <w:proofErr w:type="gramEnd"/>
      <w:r>
        <w:rPr>
          <w:rFonts w:ascii="仿宋" w:eastAsia="仿宋" w:hAnsi="仿宋" w:cs="仿宋" w:hint="eastAsia"/>
          <w:color w:val="000000"/>
          <w:sz w:val="24"/>
        </w:rPr>
        <w:t>不超过20分。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①获得省级及以上奖项，每项5分；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②获得市级奖项，每项3分；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获得区级及以下奖项，每项1分。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50" w:firstLine="600"/>
        <w:rPr>
          <w:rFonts w:ascii="仿宋" w:eastAsia="仿宋" w:hAnsi="仿宋" w:cs="仿宋"/>
          <w:color w:val="000000"/>
          <w:sz w:val="24"/>
        </w:rPr>
      </w:pPr>
      <w:r>
        <w:rPr>
          <w:rFonts w:ascii="仿宋" w:eastAsia="仿宋" w:hAnsi="仿宋" w:cs="仿宋" w:hint="eastAsia"/>
          <w:color w:val="000000"/>
          <w:sz w:val="24"/>
        </w:rPr>
        <w:t>6.1.3社工之星（20分）：员工获2013年度市级“社工之星（金星奖、银星奖等）”，各项分值加</w:t>
      </w:r>
      <w:proofErr w:type="gramStart"/>
      <w:r>
        <w:rPr>
          <w:rFonts w:ascii="仿宋" w:eastAsia="仿宋" w:hAnsi="仿宋" w:cs="仿宋" w:hint="eastAsia"/>
          <w:color w:val="000000"/>
          <w:sz w:val="24"/>
        </w:rPr>
        <w:t>总最高</w:t>
      </w:r>
      <w:proofErr w:type="gramEnd"/>
      <w:r>
        <w:rPr>
          <w:rFonts w:ascii="仿宋" w:eastAsia="仿宋" w:hAnsi="仿宋" w:cs="仿宋" w:hint="eastAsia"/>
          <w:color w:val="000000"/>
          <w:sz w:val="24"/>
        </w:rPr>
        <w:t>不超过20分。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①每获得金星奖一个得5分，最高不超过10分；每获得银星奖一个得3分，最高不超过10分；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②没有，得0分。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6.1.4十佳案例（20分）：入选2013年度市级“十佳案例”，各项分值加</w:t>
      </w:r>
      <w:proofErr w:type="gramStart"/>
      <w:r>
        <w:rPr>
          <w:rFonts w:ascii="仿宋" w:eastAsia="仿宋" w:hAnsi="仿宋" w:cs="仿宋" w:hint="eastAsia"/>
          <w:color w:val="000000"/>
          <w:sz w:val="24"/>
        </w:rPr>
        <w:t>总最高</w:t>
      </w:r>
      <w:proofErr w:type="gramEnd"/>
      <w:r>
        <w:rPr>
          <w:rFonts w:ascii="仿宋" w:eastAsia="仿宋" w:hAnsi="仿宋" w:cs="仿宋" w:hint="eastAsia"/>
          <w:color w:val="000000"/>
          <w:sz w:val="24"/>
        </w:rPr>
        <w:t>不超过20分。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①每入选一篇案例得5分，最高不超过20分；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②否，得0分。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p>
    <w:p w:rsidR="007E56D4" w:rsidRDefault="007E56D4" w:rsidP="007E56D4">
      <w:pPr>
        <w:autoSpaceDE w:val="0"/>
        <w:autoSpaceDN w:val="0"/>
        <w:adjustRightInd w:val="0"/>
        <w:spacing w:line="3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6.2满意度情况（100分）</w:t>
      </w: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6.2.1督导评价（20分）</w:t>
      </w: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①对机构整体服务管理工作非常满意，得20分；</w:t>
      </w: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②比较满意，得15分；</w:t>
      </w:r>
    </w:p>
    <w:p w:rsidR="007E56D4" w:rsidRDefault="00BD64C1"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fldChar w:fldCharType="begin"/>
      </w:r>
      <w:r w:rsidR="007E56D4">
        <w:rPr>
          <w:rFonts w:ascii="仿宋" w:eastAsia="仿宋" w:hAnsi="仿宋" w:cs="仿宋" w:hint="eastAsia"/>
          <w:bCs/>
          <w:color w:val="000000"/>
          <w:sz w:val="24"/>
        </w:rPr>
        <w:instrText xml:space="preserve"> = 3 \* GB3 </w:instrText>
      </w:r>
      <w:r>
        <w:rPr>
          <w:rFonts w:ascii="仿宋" w:eastAsia="仿宋" w:hAnsi="仿宋" w:cs="仿宋" w:hint="eastAsia"/>
          <w:bCs/>
          <w:color w:val="000000"/>
          <w:sz w:val="24"/>
        </w:rPr>
        <w:fldChar w:fldCharType="separate"/>
      </w:r>
      <w:r w:rsidR="007E56D4">
        <w:rPr>
          <w:rFonts w:ascii="仿宋" w:eastAsia="仿宋" w:hAnsi="仿宋" w:cs="仿宋" w:hint="eastAsia"/>
          <w:bCs/>
          <w:color w:val="000000"/>
          <w:sz w:val="24"/>
        </w:rPr>
        <w:t>③</w:t>
      </w:r>
      <w:r>
        <w:rPr>
          <w:rFonts w:ascii="仿宋" w:eastAsia="仿宋" w:hAnsi="仿宋" w:cs="仿宋" w:hint="eastAsia"/>
          <w:bCs/>
          <w:color w:val="000000"/>
          <w:sz w:val="24"/>
        </w:rPr>
        <w:fldChar w:fldCharType="end"/>
      </w:r>
      <w:r w:rsidR="007E56D4">
        <w:rPr>
          <w:rFonts w:ascii="仿宋" w:eastAsia="仿宋" w:hAnsi="仿宋" w:cs="仿宋" w:hint="eastAsia"/>
          <w:bCs/>
          <w:color w:val="000000"/>
          <w:sz w:val="24"/>
        </w:rPr>
        <w:t>满意度一般，得10分；</w:t>
      </w: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④不满意，得0分。</w:t>
      </w:r>
    </w:p>
    <w:p w:rsidR="007E56D4" w:rsidRDefault="007E56D4" w:rsidP="007E56D4">
      <w:pPr>
        <w:autoSpaceDE w:val="0"/>
        <w:autoSpaceDN w:val="0"/>
        <w:adjustRightInd w:val="0"/>
        <w:spacing w:line="360" w:lineRule="exact"/>
        <w:ind w:firstLineChars="200" w:firstLine="482"/>
        <w:rPr>
          <w:rFonts w:ascii="仿宋" w:eastAsia="仿宋" w:hAnsi="仿宋" w:cs="仿宋"/>
          <w:b/>
          <w:bCs/>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6.2.2员工评价（30分）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①</w:t>
      </w:r>
      <w:r>
        <w:rPr>
          <w:rFonts w:ascii="仿宋" w:eastAsia="仿宋" w:hAnsi="仿宋" w:cs="仿宋" w:hint="eastAsia"/>
          <w:bCs/>
          <w:color w:val="000000"/>
          <w:sz w:val="24"/>
        </w:rPr>
        <w:t>对机构整体服务管理工作非常满意，</w:t>
      </w:r>
      <w:r>
        <w:rPr>
          <w:rFonts w:ascii="仿宋" w:eastAsia="仿宋" w:hAnsi="仿宋" w:cs="仿宋" w:hint="eastAsia"/>
          <w:color w:val="000000"/>
          <w:sz w:val="24"/>
        </w:rPr>
        <w:t>得30分；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②比较满意，得20分；</w:t>
      </w:r>
    </w:p>
    <w:p w:rsidR="007E56D4" w:rsidRDefault="00BD64C1"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fldChar w:fldCharType="begin"/>
      </w:r>
      <w:r w:rsidR="007E56D4">
        <w:rPr>
          <w:rFonts w:ascii="仿宋" w:eastAsia="仿宋" w:hAnsi="仿宋" w:cs="仿宋" w:hint="eastAsia"/>
          <w:color w:val="000000"/>
          <w:sz w:val="24"/>
        </w:rPr>
        <w:instrText xml:space="preserve"> = 3 \* GB3 </w:instrText>
      </w:r>
      <w:r>
        <w:rPr>
          <w:rFonts w:ascii="仿宋" w:eastAsia="仿宋" w:hAnsi="仿宋" w:cs="仿宋" w:hint="eastAsia"/>
          <w:color w:val="000000"/>
          <w:sz w:val="24"/>
        </w:rPr>
        <w:fldChar w:fldCharType="separate"/>
      </w:r>
      <w:r w:rsidR="007E56D4">
        <w:rPr>
          <w:rFonts w:ascii="仿宋" w:eastAsia="仿宋" w:hAnsi="仿宋" w:cs="仿宋" w:hint="eastAsia"/>
          <w:color w:val="000000"/>
          <w:sz w:val="24"/>
        </w:rPr>
        <w:t>③</w:t>
      </w:r>
      <w:r>
        <w:rPr>
          <w:rFonts w:ascii="仿宋" w:eastAsia="仿宋" w:hAnsi="仿宋" w:cs="仿宋" w:hint="eastAsia"/>
          <w:color w:val="000000"/>
          <w:sz w:val="24"/>
        </w:rPr>
        <w:fldChar w:fldCharType="end"/>
      </w:r>
      <w:r w:rsidR="007E56D4">
        <w:rPr>
          <w:rFonts w:ascii="仿宋" w:eastAsia="仿宋" w:hAnsi="仿宋" w:cs="仿宋" w:hint="eastAsia"/>
          <w:color w:val="000000"/>
          <w:sz w:val="24"/>
        </w:rPr>
        <w:t>满意度一般，得10分；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④不满意，得0分。</w:t>
      </w:r>
    </w:p>
    <w:p w:rsidR="007E56D4" w:rsidRDefault="007E56D4" w:rsidP="007E56D4">
      <w:pPr>
        <w:autoSpaceDE w:val="0"/>
        <w:autoSpaceDN w:val="0"/>
        <w:adjustRightInd w:val="0"/>
        <w:spacing w:line="360" w:lineRule="exact"/>
        <w:rPr>
          <w:rFonts w:ascii="仿宋" w:eastAsia="仿宋" w:hAnsi="仿宋" w:cs="仿宋"/>
          <w:b/>
          <w:bCs/>
          <w:color w:val="000000"/>
          <w:sz w:val="24"/>
        </w:rPr>
      </w:pPr>
    </w:p>
    <w:p w:rsidR="007E56D4" w:rsidRDefault="007E56D4" w:rsidP="007E56D4">
      <w:pPr>
        <w:autoSpaceDE w:val="0"/>
        <w:autoSpaceDN w:val="0"/>
        <w:adjustRightIn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6.2.3服务对象评价（50分）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操作办法：根据机构提供的岗位服务对象总名单，由评估中心负责组织服务对象抽查回访工作。社区服务中心服务对象评价将采取社区服务中心评估中对服务对象的满意度调查结果。</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4.3.1 服务对象对社工的知晓度（0-10分）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4.3.2 服务对象的对社工服务的满意度（0-10分）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4.3.3 服务对象对社工素质的评价（0-10分）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4.3.4 服务对象对社工服务成效评价（0-10分）</w:t>
      </w:r>
    </w:p>
    <w:p w:rsidR="007E56D4" w:rsidRDefault="007E56D4" w:rsidP="007E56D4">
      <w:pPr>
        <w:autoSpaceDE w:val="0"/>
        <w:autoSpaceDN w:val="0"/>
        <w:adjustRightIn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4.3.5 服务对象对社工服务的总体评价（0-10分）</w:t>
      </w:r>
    </w:p>
    <w:p w:rsidR="00367C78" w:rsidRDefault="00367C78">
      <w:pPr>
        <w:widowControl/>
        <w:jc w:val="left"/>
      </w:pPr>
      <w:r>
        <w:br w:type="page"/>
      </w:r>
    </w:p>
    <w:p w:rsidR="007E56D4" w:rsidRPr="00D735C7" w:rsidRDefault="00367C78">
      <w:pPr>
        <w:rPr>
          <w:rFonts w:ascii="方正小标宋简体" w:eastAsia="方正小标宋简体" w:hAnsi="方正小标宋简体" w:cs="方正小标宋简体"/>
          <w:bCs/>
          <w:color w:val="000000"/>
          <w:sz w:val="32"/>
          <w:szCs w:val="32"/>
        </w:rPr>
      </w:pPr>
      <w:r w:rsidRPr="00D735C7">
        <w:rPr>
          <w:rFonts w:ascii="方正小标宋简体" w:eastAsia="方正小标宋简体" w:hAnsi="方正小标宋简体" w:cs="方正小标宋简体" w:hint="eastAsia"/>
          <w:bCs/>
          <w:color w:val="000000"/>
          <w:sz w:val="32"/>
          <w:szCs w:val="32"/>
        </w:rPr>
        <w:lastRenderedPageBreak/>
        <w:t>附件3：</w:t>
      </w:r>
    </w:p>
    <w:p w:rsidR="008B5C7B" w:rsidRPr="008B5C7B" w:rsidRDefault="00D735C7" w:rsidP="008B5C7B">
      <w:pPr>
        <w:spacing w:after="240"/>
        <w:jc w:val="center"/>
        <w:rPr>
          <w:rFonts w:ascii="方正小标宋简体" w:eastAsia="方正小标宋简体" w:hAnsi="方正小标宋简体" w:cs="方正小标宋简体"/>
          <w:bCs/>
          <w:color w:val="000000"/>
          <w:sz w:val="44"/>
          <w:szCs w:val="44"/>
        </w:rPr>
      </w:pPr>
      <w:r w:rsidRPr="008B5C7B">
        <w:rPr>
          <w:rFonts w:ascii="方正小标宋简体" w:eastAsia="方正小标宋简体" w:hAnsi="方正小标宋简体" w:cs="方正小标宋简体" w:hint="eastAsia"/>
          <w:bCs/>
          <w:color w:val="000000"/>
          <w:sz w:val="44"/>
          <w:szCs w:val="44"/>
        </w:rPr>
        <w:t>反馈意见表</w:t>
      </w:r>
    </w:p>
    <w:p w:rsidR="008B5C7B" w:rsidRPr="008B5C7B" w:rsidRDefault="008B5C7B" w:rsidP="008B5C7B">
      <w:pPr>
        <w:spacing w:after="240"/>
        <w:jc w:val="left"/>
        <w:rPr>
          <w:rFonts w:ascii="方正小标宋简体" w:eastAsia="方正小标宋简体" w:hAnsi="方正小标宋简体" w:cs="方正小标宋简体"/>
          <w:bCs/>
          <w:color w:val="000000"/>
          <w:sz w:val="32"/>
          <w:szCs w:val="32"/>
        </w:rPr>
      </w:pPr>
      <w:r w:rsidRPr="008B5C7B">
        <w:rPr>
          <w:rFonts w:ascii="方正小标宋简体" w:eastAsia="方正小标宋简体" w:hAnsi="方正小标宋简体" w:cs="方正小标宋简体" w:hint="eastAsia"/>
          <w:bCs/>
          <w:color w:val="000000"/>
          <w:sz w:val="24"/>
        </w:rPr>
        <w:t>单位</w:t>
      </w:r>
      <w:r>
        <w:rPr>
          <w:rFonts w:ascii="方正小标宋简体" w:eastAsia="方正小标宋简体" w:hAnsi="方正小标宋简体" w:cs="方正小标宋简体" w:hint="eastAsia"/>
          <w:bCs/>
          <w:color w:val="000000"/>
          <w:sz w:val="24"/>
        </w:rPr>
        <w:t>(</w:t>
      </w:r>
      <w:r w:rsidRPr="008B5C7B">
        <w:rPr>
          <w:rFonts w:ascii="方正小标宋简体" w:eastAsia="方正小标宋简体" w:hAnsi="方正小标宋简体" w:cs="方正小标宋简体" w:hint="eastAsia"/>
          <w:bCs/>
          <w:color w:val="000000"/>
          <w:sz w:val="24"/>
        </w:rPr>
        <w:t xml:space="preserve">机构名称):                       </w:t>
      </w:r>
      <w:r>
        <w:rPr>
          <w:rFonts w:ascii="方正小标宋简体" w:eastAsia="方正小标宋简体" w:hAnsi="方正小标宋简体" w:cs="方正小标宋简体" w:hint="eastAsia"/>
          <w:bCs/>
          <w:color w:val="000000"/>
          <w:sz w:val="24"/>
        </w:rPr>
        <w:t xml:space="preserve">        </w:t>
      </w:r>
      <w:r w:rsidRPr="008B5C7B">
        <w:rPr>
          <w:rFonts w:ascii="方正小标宋简体" w:eastAsia="方正小标宋简体" w:hAnsi="方正小标宋简体" w:cs="方正小标宋简体" w:hint="eastAsia"/>
          <w:bCs/>
          <w:color w:val="000000"/>
          <w:sz w:val="24"/>
        </w:rPr>
        <w:t>联系人:</w:t>
      </w:r>
    </w:p>
    <w:tbl>
      <w:tblPr>
        <w:tblStyle w:val="ad"/>
        <w:tblW w:w="8610" w:type="dxa"/>
        <w:jc w:val="center"/>
        <w:tblInd w:w="554" w:type="dxa"/>
        <w:tblLook w:val="04A0"/>
      </w:tblPr>
      <w:tblGrid>
        <w:gridCol w:w="861"/>
        <w:gridCol w:w="1960"/>
        <w:gridCol w:w="2141"/>
        <w:gridCol w:w="2693"/>
        <w:gridCol w:w="955"/>
      </w:tblGrid>
      <w:tr w:rsidR="00D735C7" w:rsidTr="00D735C7">
        <w:trPr>
          <w:trHeight w:val="576"/>
          <w:jc w:val="center"/>
        </w:trPr>
        <w:tc>
          <w:tcPr>
            <w:tcW w:w="861" w:type="dxa"/>
            <w:vAlign w:val="center"/>
          </w:tcPr>
          <w:p w:rsidR="00D735C7" w:rsidRPr="00D735C7" w:rsidRDefault="00D735C7" w:rsidP="00D735C7">
            <w:pPr>
              <w:jc w:val="center"/>
              <w:rPr>
                <w:b/>
                <w:sz w:val="24"/>
              </w:rPr>
            </w:pPr>
            <w:r>
              <w:rPr>
                <w:rFonts w:hint="eastAsia"/>
                <w:b/>
                <w:sz w:val="24"/>
              </w:rPr>
              <w:t>序号</w:t>
            </w:r>
          </w:p>
        </w:tc>
        <w:tc>
          <w:tcPr>
            <w:tcW w:w="1960" w:type="dxa"/>
            <w:vAlign w:val="center"/>
          </w:tcPr>
          <w:p w:rsidR="00D735C7" w:rsidRPr="00D735C7" w:rsidRDefault="00D735C7" w:rsidP="00D735C7">
            <w:pPr>
              <w:jc w:val="center"/>
              <w:rPr>
                <w:b/>
                <w:sz w:val="24"/>
              </w:rPr>
            </w:pPr>
            <w:r w:rsidRPr="00D735C7">
              <w:rPr>
                <w:rFonts w:hint="eastAsia"/>
                <w:b/>
                <w:sz w:val="24"/>
              </w:rPr>
              <w:t>原文内容</w:t>
            </w:r>
          </w:p>
        </w:tc>
        <w:tc>
          <w:tcPr>
            <w:tcW w:w="2141" w:type="dxa"/>
            <w:vAlign w:val="center"/>
          </w:tcPr>
          <w:p w:rsidR="00D735C7" w:rsidRPr="00D735C7" w:rsidRDefault="00D735C7" w:rsidP="00D735C7">
            <w:pPr>
              <w:jc w:val="center"/>
              <w:rPr>
                <w:b/>
                <w:sz w:val="24"/>
              </w:rPr>
            </w:pPr>
            <w:r w:rsidRPr="00D735C7">
              <w:rPr>
                <w:rFonts w:hint="eastAsia"/>
                <w:b/>
                <w:sz w:val="24"/>
              </w:rPr>
              <w:t>修订意见</w:t>
            </w:r>
          </w:p>
        </w:tc>
        <w:tc>
          <w:tcPr>
            <w:tcW w:w="2693" w:type="dxa"/>
            <w:vAlign w:val="center"/>
          </w:tcPr>
          <w:p w:rsidR="00D735C7" w:rsidRPr="00D735C7" w:rsidRDefault="00D735C7" w:rsidP="00D735C7">
            <w:pPr>
              <w:jc w:val="center"/>
              <w:rPr>
                <w:b/>
                <w:sz w:val="24"/>
              </w:rPr>
            </w:pPr>
            <w:r w:rsidRPr="00D735C7">
              <w:rPr>
                <w:rFonts w:hint="eastAsia"/>
                <w:b/>
                <w:sz w:val="24"/>
              </w:rPr>
              <w:t>修订原因</w:t>
            </w:r>
          </w:p>
        </w:tc>
        <w:tc>
          <w:tcPr>
            <w:tcW w:w="955" w:type="dxa"/>
            <w:vAlign w:val="center"/>
          </w:tcPr>
          <w:p w:rsidR="00D735C7" w:rsidRPr="00D735C7" w:rsidRDefault="00D735C7" w:rsidP="00D735C7">
            <w:pPr>
              <w:jc w:val="center"/>
              <w:rPr>
                <w:b/>
                <w:sz w:val="24"/>
              </w:rPr>
            </w:pPr>
            <w:r w:rsidRPr="00D735C7">
              <w:rPr>
                <w:rFonts w:hint="eastAsia"/>
                <w:b/>
                <w:sz w:val="24"/>
              </w:rPr>
              <w:t>备注</w:t>
            </w: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r w:rsidR="00D735C7" w:rsidTr="00D735C7">
        <w:trPr>
          <w:trHeight w:val="576"/>
          <w:jc w:val="center"/>
        </w:trPr>
        <w:tc>
          <w:tcPr>
            <w:tcW w:w="861" w:type="dxa"/>
          </w:tcPr>
          <w:p w:rsidR="00D735C7" w:rsidRPr="00D735C7" w:rsidRDefault="00D735C7" w:rsidP="00D735C7">
            <w:pPr>
              <w:jc w:val="center"/>
              <w:rPr>
                <w:b/>
                <w:sz w:val="24"/>
              </w:rPr>
            </w:pPr>
          </w:p>
        </w:tc>
        <w:tc>
          <w:tcPr>
            <w:tcW w:w="1960" w:type="dxa"/>
            <w:vAlign w:val="center"/>
          </w:tcPr>
          <w:p w:rsidR="00D735C7" w:rsidRPr="00D735C7" w:rsidRDefault="00D735C7" w:rsidP="00D735C7">
            <w:pPr>
              <w:jc w:val="center"/>
              <w:rPr>
                <w:b/>
                <w:sz w:val="24"/>
              </w:rPr>
            </w:pPr>
          </w:p>
        </w:tc>
        <w:tc>
          <w:tcPr>
            <w:tcW w:w="2141" w:type="dxa"/>
            <w:vAlign w:val="center"/>
          </w:tcPr>
          <w:p w:rsidR="00D735C7" w:rsidRPr="00D735C7" w:rsidRDefault="00D735C7" w:rsidP="00D735C7">
            <w:pPr>
              <w:jc w:val="center"/>
              <w:rPr>
                <w:b/>
                <w:sz w:val="24"/>
              </w:rPr>
            </w:pPr>
          </w:p>
        </w:tc>
        <w:tc>
          <w:tcPr>
            <w:tcW w:w="2693" w:type="dxa"/>
            <w:vAlign w:val="center"/>
          </w:tcPr>
          <w:p w:rsidR="00D735C7" w:rsidRPr="00D735C7" w:rsidRDefault="00D735C7" w:rsidP="00D735C7">
            <w:pPr>
              <w:jc w:val="center"/>
              <w:rPr>
                <w:b/>
                <w:sz w:val="24"/>
              </w:rPr>
            </w:pPr>
          </w:p>
        </w:tc>
        <w:tc>
          <w:tcPr>
            <w:tcW w:w="955" w:type="dxa"/>
            <w:vAlign w:val="center"/>
          </w:tcPr>
          <w:p w:rsidR="00D735C7" w:rsidRPr="00D735C7" w:rsidRDefault="00D735C7" w:rsidP="00D735C7">
            <w:pPr>
              <w:jc w:val="center"/>
              <w:rPr>
                <w:b/>
                <w:sz w:val="24"/>
              </w:rPr>
            </w:pPr>
          </w:p>
        </w:tc>
      </w:tr>
    </w:tbl>
    <w:p w:rsidR="00367C78" w:rsidRPr="007E56D4" w:rsidRDefault="00367C78"/>
    <w:sectPr w:rsidR="00367C78" w:rsidRPr="007E56D4" w:rsidSect="00C753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62" w:rsidRDefault="00F86962" w:rsidP="007E56D4">
      <w:r>
        <w:separator/>
      </w:r>
    </w:p>
  </w:endnote>
  <w:endnote w:type="continuationSeparator" w:id="0">
    <w:p w:rsidR="00F86962" w:rsidRDefault="00F86962" w:rsidP="007E5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90018"/>
      <w:docPartObj>
        <w:docPartGallery w:val="Page Numbers (Bottom of Page)"/>
        <w:docPartUnique/>
      </w:docPartObj>
    </w:sdtPr>
    <w:sdtContent>
      <w:p w:rsidR="00D735C7" w:rsidRDefault="00BD64C1">
        <w:pPr>
          <w:pStyle w:val="a4"/>
          <w:jc w:val="center"/>
        </w:pPr>
        <w:fldSimple w:instr=" PAGE   \* MERGEFORMAT ">
          <w:r w:rsidR="002C2F03" w:rsidRPr="002C2F03">
            <w:rPr>
              <w:noProof/>
              <w:lang w:val="zh-CN"/>
            </w:rPr>
            <w:t>2</w:t>
          </w:r>
        </w:fldSimple>
      </w:p>
    </w:sdtContent>
  </w:sdt>
  <w:p w:rsidR="00D735C7" w:rsidRDefault="00D735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62" w:rsidRDefault="00F86962" w:rsidP="007E56D4">
      <w:r>
        <w:separator/>
      </w:r>
    </w:p>
  </w:footnote>
  <w:footnote w:type="continuationSeparator" w:id="0">
    <w:p w:rsidR="00F86962" w:rsidRDefault="00F86962" w:rsidP="007E56D4">
      <w:r>
        <w:continuationSeparator/>
      </w:r>
    </w:p>
  </w:footnote>
  <w:footnote w:id="1">
    <w:p w:rsidR="00A1295E" w:rsidRDefault="00A1295E" w:rsidP="007E56D4">
      <w:pPr>
        <w:pStyle w:val="a7"/>
        <w:rPr>
          <w:rFonts w:ascii="仿宋_GB2312" w:eastAsia="仿宋_GB2312"/>
        </w:rPr>
      </w:pPr>
      <w:r>
        <w:rPr>
          <w:rStyle w:val="aa"/>
        </w:rPr>
        <w:footnoteRef/>
      </w:r>
      <w:r>
        <w:t xml:space="preserve"> </w:t>
      </w:r>
      <w:r>
        <w:rPr>
          <w:rFonts w:ascii="仿宋_GB2312" w:eastAsia="仿宋_GB2312" w:hint="eastAsia"/>
        </w:rPr>
        <w:t>项目验收指对社工服务机构承接的政府或非政府委托服务项目的验收，包括社工岗位、社区服务中心、</w:t>
      </w:r>
      <w:proofErr w:type="gramStart"/>
      <w:r>
        <w:rPr>
          <w:rFonts w:ascii="仿宋_GB2312" w:eastAsia="仿宋_GB2312" w:hint="eastAsia"/>
        </w:rPr>
        <w:t>福彩公益金</w:t>
      </w:r>
      <w:proofErr w:type="gramEnd"/>
      <w:r>
        <w:rPr>
          <w:rFonts w:ascii="仿宋_GB2312" w:eastAsia="仿宋_GB2312" w:hint="eastAsia"/>
        </w:rPr>
        <w:t>项目、基金会资助项目等。</w:t>
      </w:r>
    </w:p>
  </w:footnote>
  <w:footnote w:id="2">
    <w:p w:rsidR="00A1295E" w:rsidRDefault="00A1295E" w:rsidP="007E56D4">
      <w:pPr>
        <w:pStyle w:val="a7"/>
      </w:pPr>
      <w:r>
        <w:rPr>
          <w:rStyle w:val="aa"/>
        </w:rPr>
        <w:footnoteRef/>
      </w:r>
      <w:r>
        <w:rPr>
          <w:rFonts w:hint="eastAsia"/>
          <w:color w:val="000000"/>
        </w:rPr>
        <w:t>以获奖时该社工所在机构为准，下同。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3303"/>
    <w:multiLevelType w:val="hybridMultilevel"/>
    <w:tmpl w:val="32181992"/>
    <w:lvl w:ilvl="0" w:tplc="7256E99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6D4"/>
    <w:rsid w:val="001A46B5"/>
    <w:rsid w:val="002C2F03"/>
    <w:rsid w:val="00367C78"/>
    <w:rsid w:val="0048284E"/>
    <w:rsid w:val="006156A1"/>
    <w:rsid w:val="0065428D"/>
    <w:rsid w:val="00684E3C"/>
    <w:rsid w:val="007E56D4"/>
    <w:rsid w:val="00810460"/>
    <w:rsid w:val="008B5C7B"/>
    <w:rsid w:val="008F7DEF"/>
    <w:rsid w:val="00A1295E"/>
    <w:rsid w:val="00A743C3"/>
    <w:rsid w:val="00A875E6"/>
    <w:rsid w:val="00B06AAA"/>
    <w:rsid w:val="00B64296"/>
    <w:rsid w:val="00BD64C1"/>
    <w:rsid w:val="00C1238F"/>
    <w:rsid w:val="00C75365"/>
    <w:rsid w:val="00CD372C"/>
    <w:rsid w:val="00D735C7"/>
    <w:rsid w:val="00F4046F"/>
    <w:rsid w:val="00F5237E"/>
    <w:rsid w:val="00F86962"/>
    <w:rsid w:val="00FB1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6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56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E56D4"/>
    <w:rPr>
      <w:sz w:val="18"/>
      <w:szCs w:val="18"/>
    </w:rPr>
  </w:style>
  <w:style w:type="paragraph" w:styleId="a4">
    <w:name w:val="footer"/>
    <w:basedOn w:val="a"/>
    <w:link w:val="Char0"/>
    <w:uiPriority w:val="99"/>
    <w:unhideWhenUsed/>
    <w:rsid w:val="007E56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56D4"/>
    <w:rPr>
      <w:sz w:val="18"/>
      <w:szCs w:val="18"/>
    </w:rPr>
  </w:style>
  <w:style w:type="character" w:customStyle="1" w:styleId="Char1">
    <w:name w:val="日期 Char1"/>
    <w:basedOn w:val="a0"/>
    <w:link w:val="a5"/>
    <w:rsid w:val="007E56D4"/>
    <w:rPr>
      <w:szCs w:val="24"/>
    </w:rPr>
  </w:style>
  <w:style w:type="character" w:customStyle="1" w:styleId="Char10">
    <w:name w:val="文档结构图 Char1"/>
    <w:rsid w:val="007E56D4"/>
    <w:rPr>
      <w:rFonts w:ascii="宋体"/>
      <w:kern w:val="2"/>
      <w:sz w:val="18"/>
      <w:szCs w:val="18"/>
    </w:rPr>
  </w:style>
  <w:style w:type="character" w:customStyle="1" w:styleId="Char2">
    <w:name w:val="脚注文本 Char2"/>
    <w:rsid w:val="007E56D4"/>
    <w:rPr>
      <w:kern w:val="2"/>
      <w:sz w:val="18"/>
      <w:szCs w:val="18"/>
    </w:rPr>
  </w:style>
  <w:style w:type="character" w:styleId="a6">
    <w:name w:val="Strong"/>
    <w:qFormat/>
    <w:rsid w:val="007E56D4"/>
    <w:rPr>
      <w:b/>
      <w:bCs/>
    </w:rPr>
  </w:style>
  <w:style w:type="character" w:customStyle="1" w:styleId="CharChar">
    <w:name w:val="日期 Char Char"/>
    <w:rsid w:val="007E56D4"/>
  </w:style>
  <w:style w:type="character" w:customStyle="1" w:styleId="Char3">
    <w:name w:val="日期 Char"/>
    <w:link w:val="1"/>
    <w:rsid w:val="007E56D4"/>
  </w:style>
  <w:style w:type="character" w:customStyle="1" w:styleId="Char4">
    <w:name w:val="脚注文本 Char"/>
    <w:link w:val="a7"/>
    <w:uiPriority w:val="99"/>
    <w:rsid w:val="007E56D4"/>
    <w:rPr>
      <w:sz w:val="18"/>
      <w:szCs w:val="18"/>
    </w:rPr>
  </w:style>
  <w:style w:type="character" w:customStyle="1" w:styleId="Char5">
    <w:name w:val="文档结构图 Char"/>
    <w:link w:val="a8"/>
    <w:rsid w:val="007E56D4"/>
    <w:rPr>
      <w:rFonts w:ascii="宋体"/>
      <w:sz w:val="18"/>
      <w:szCs w:val="18"/>
    </w:rPr>
  </w:style>
  <w:style w:type="character" w:customStyle="1" w:styleId="Char11">
    <w:name w:val="页眉 Char1"/>
    <w:rsid w:val="007E56D4"/>
    <w:rPr>
      <w:kern w:val="2"/>
      <w:sz w:val="18"/>
      <w:szCs w:val="18"/>
    </w:rPr>
  </w:style>
  <w:style w:type="character" w:customStyle="1" w:styleId="Char12">
    <w:name w:val="脚注文本 Char1"/>
    <w:rsid w:val="007E56D4"/>
    <w:rPr>
      <w:kern w:val="2"/>
      <w:sz w:val="18"/>
      <w:szCs w:val="18"/>
    </w:rPr>
  </w:style>
  <w:style w:type="character" w:styleId="a9">
    <w:name w:val="Hyperlink"/>
    <w:rsid w:val="007E56D4"/>
    <w:rPr>
      <w:color w:val="0000FF"/>
      <w:u w:val="single"/>
    </w:rPr>
  </w:style>
  <w:style w:type="character" w:styleId="aa">
    <w:name w:val="footnote reference"/>
    <w:uiPriority w:val="99"/>
    <w:rsid w:val="007E56D4"/>
    <w:rPr>
      <w:rFonts w:cs="Times New Roman"/>
      <w:vertAlign w:val="superscript"/>
    </w:rPr>
  </w:style>
  <w:style w:type="character" w:customStyle="1" w:styleId="Char13">
    <w:name w:val="批注框文本 Char1"/>
    <w:rsid w:val="007E56D4"/>
    <w:rPr>
      <w:kern w:val="2"/>
      <w:sz w:val="18"/>
      <w:szCs w:val="18"/>
    </w:rPr>
  </w:style>
  <w:style w:type="character" w:customStyle="1" w:styleId="Char6">
    <w:name w:val="批注框文本 Char"/>
    <w:link w:val="ab"/>
    <w:rsid w:val="007E56D4"/>
    <w:rPr>
      <w:sz w:val="18"/>
      <w:szCs w:val="18"/>
    </w:rPr>
  </w:style>
  <w:style w:type="character" w:customStyle="1" w:styleId="ca-14">
    <w:name w:val="ca-14"/>
    <w:rsid w:val="007E56D4"/>
  </w:style>
  <w:style w:type="character" w:customStyle="1" w:styleId="Char14">
    <w:name w:val="页脚 Char1"/>
    <w:rsid w:val="007E56D4"/>
    <w:rPr>
      <w:kern w:val="2"/>
      <w:sz w:val="18"/>
      <w:szCs w:val="18"/>
    </w:rPr>
  </w:style>
  <w:style w:type="character" w:customStyle="1" w:styleId="10">
    <w:name w:val="脚注引用1"/>
    <w:rsid w:val="007E56D4"/>
    <w:rPr>
      <w:rFonts w:cs="Times New Roman"/>
      <w:vertAlign w:val="superscript"/>
    </w:rPr>
  </w:style>
  <w:style w:type="paragraph" w:styleId="a5">
    <w:name w:val="Date"/>
    <w:basedOn w:val="a"/>
    <w:next w:val="a"/>
    <w:link w:val="Char1"/>
    <w:rsid w:val="007E56D4"/>
    <w:pPr>
      <w:ind w:leftChars="2500" w:left="100"/>
    </w:pPr>
    <w:rPr>
      <w:rFonts w:asciiTheme="minorHAnsi" w:eastAsiaTheme="minorEastAsia" w:hAnsiTheme="minorHAnsi" w:cstheme="minorBidi"/>
    </w:rPr>
  </w:style>
  <w:style w:type="character" w:customStyle="1" w:styleId="Char20">
    <w:name w:val="日期 Char2"/>
    <w:basedOn w:val="a0"/>
    <w:link w:val="a5"/>
    <w:uiPriority w:val="99"/>
    <w:semiHidden/>
    <w:rsid w:val="007E56D4"/>
    <w:rPr>
      <w:rFonts w:ascii="Times New Roman" w:eastAsia="宋体" w:hAnsi="Times New Roman" w:cs="Times New Roman"/>
      <w:szCs w:val="24"/>
    </w:rPr>
  </w:style>
  <w:style w:type="paragraph" w:styleId="ab">
    <w:name w:val="Balloon Text"/>
    <w:basedOn w:val="a"/>
    <w:link w:val="Char6"/>
    <w:rsid w:val="007E56D4"/>
    <w:rPr>
      <w:rFonts w:asciiTheme="minorHAnsi" w:eastAsiaTheme="minorEastAsia" w:hAnsiTheme="minorHAnsi" w:cstheme="minorBidi"/>
      <w:sz w:val="18"/>
      <w:szCs w:val="18"/>
    </w:rPr>
  </w:style>
  <w:style w:type="character" w:customStyle="1" w:styleId="Char21">
    <w:name w:val="批注框文本 Char2"/>
    <w:basedOn w:val="a0"/>
    <w:link w:val="ab"/>
    <w:uiPriority w:val="99"/>
    <w:semiHidden/>
    <w:rsid w:val="007E56D4"/>
    <w:rPr>
      <w:rFonts w:ascii="Times New Roman" w:eastAsia="宋体" w:hAnsi="Times New Roman" w:cs="Times New Roman"/>
      <w:sz w:val="18"/>
      <w:szCs w:val="18"/>
    </w:rPr>
  </w:style>
  <w:style w:type="paragraph" w:styleId="a8">
    <w:name w:val="Document Map"/>
    <w:basedOn w:val="a"/>
    <w:link w:val="Char5"/>
    <w:rsid w:val="007E56D4"/>
    <w:rPr>
      <w:rFonts w:ascii="宋体" w:eastAsiaTheme="minorEastAsia" w:hAnsiTheme="minorHAnsi" w:cstheme="minorBidi"/>
      <w:sz w:val="18"/>
      <w:szCs w:val="18"/>
    </w:rPr>
  </w:style>
  <w:style w:type="character" w:customStyle="1" w:styleId="Char22">
    <w:name w:val="文档结构图 Char2"/>
    <w:basedOn w:val="a0"/>
    <w:link w:val="a8"/>
    <w:uiPriority w:val="99"/>
    <w:semiHidden/>
    <w:rsid w:val="007E56D4"/>
    <w:rPr>
      <w:rFonts w:ascii="宋体" w:eastAsia="宋体" w:hAnsi="Times New Roman" w:cs="Times New Roman"/>
      <w:sz w:val="18"/>
      <w:szCs w:val="18"/>
    </w:rPr>
  </w:style>
  <w:style w:type="paragraph" w:customStyle="1" w:styleId="11">
    <w:name w:val="脚注文本1"/>
    <w:basedOn w:val="a"/>
    <w:rsid w:val="007E56D4"/>
    <w:pPr>
      <w:snapToGrid w:val="0"/>
      <w:jc w:val="left"/>
    </w:pPr>
    <w:rPr>
      <w:sz w:val="18"/>
      <w:szCs w:val="18"/>
    </w:rPr>
  </w:style>
  <w:style w:type="paragraph" w:styleId="ac">
    <w:name w:val="List Paragraph"/>
    <w:basedOn w:val="a"/>
    <w:qFormat/>
    <w:rsid w:val="007E56D4"/>
    <w:pPr>
      <w:ind w:firstLineChars="200" w:firstLine="420"/>
    </w:pPr>
    <w:rPr>
      <w:rFonts w:ascii="Calibri" w:hAnsi="Calibri"/>
      <w:szCs w:val="22"/>
    </w:rPr>
  </w:style>
  <w:style w:type="paragraph" w:customStyle="1" w:styleId="1">
    <w:name w:val="日期1"/>
    <w:basedOn w:val="a"/>
    <w:next w:val="a"/>
    <w:link w:val="Char3"/>
    <w:rsid w:val="007E56D4"/>
    <w:pPr>
      <w:ind w:leftChars="2500" w:left="100"/>
    </w:pPr>
    <w:rPr>
      <w:rFonts w:asciiTheme="minorHAnsi" w:eastAsiaTheme="minorEastAsia" w:hAnsiTheme="minorHAnsi" w:cstheme="minorBidi"/>
      <w:szCs w:val="22"/>
    </w:rPr>
  </w:style>
  <w:style w:type="paragraph" w:styleId="a7">
    <w:name w:val="footnote text"/>
    <w:basedOn w:val="a"/>
    <w:link w:val="Char4"/>
    <w:uiPriority w:val="99"/>
    <w:rsid w:val="007E56D4"/>
    <w:pPr>
      <w:snapToGrid w:val="0"/>
      <w:jc w:val="left"/>
    </w:pPr>
    <w:rPr>
      <w:rFonts w:asciiTheme="minorHAnsi" w:eastAsiaTheme="minorEastAsia" w:hAnsiTheme="minorHAnsi" w:cstheme="minorBidi"/>
      <w:sz w:val="18"/>
      <w:szCs w:val="18"/>
    </w:rPr>
  </w:style>
  <w:style w:type="character" w:customStyle="1" w:styleId="Char30">
    <w:name w:val="脚注文本 Char3"/>
    <w:basedOn w:val="a0"/>
    <w:link w:val="a7"/>
    <w:uiPriority w:val="99"/>
    <w:semiHidden/>
    <w:rsid w:val="007E56D4"/>
    <w:rPr>
      <w:rFonts w:ascii="Times New Roman" w:eastAsia="宋体" w:hAnsi="Times New Roman" w:cs="Times New Roman"/>
      <w:sz w:val="18"/>
      <w:szCs w:val="18"/>
    </w:rPr>
  </w:style>
  <w:style w:type="paragraph" w:customStyle="1" w:styleId="p0">
    <w:name w:val="p0"/>
    <w:basedOn w:val="a"/>
    <w:rsid w:val="007E56D4"/>
    <w:pPr>
      <w:widowControl/>
    </w:pPr>
    <w:rPr>
      <w:kern w:val="0"/>
      <w:szCs w:val="21"/>
    </w:rPr>
  </w:style>
  <w:style w:type="paragraph" w:customStyle="1" w:styleId="p15">
    <w:name w:val="p15"/>
    <w:basedOn w:val="a"/>
    <w:rsid w:val="007E56D4"/>
    <w:pPr>
      <w:widowControl/>
      <w:jc w:val="left"/>
    </w:pPr>
    <w:rPr>
      <w:kern w:val="0"/>
      <w:sz w:val="18"/>
      <w:szCs w:val="18"/>
    </w:rPr>
  </w:style>
  <w:style w:type="paragraph" w:customStyle="1" w:styleId="12">
    <w:name w:val="列出段落1"/>
    <w:basedOn w:val="a"/>
    <w:rsid w:val="007E56D4"/>
    <w:pPr>
      <w:ind w:firstLineChars="200" w:firstLine="420"/>
    </w:pPr>
    <w:rPr>
      <w:szCs w:val="20"/>
    </w:rPr>
  </w:style>
  <w:style w:type="table" w:styleId="ad">
    <w:name w:val="Table Grid"/>
    <w:basedOn w:val="a1"/>
    <w:uiPriority w:val="59"/>
    <w:rsid w:val="00D73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2363</Words>
  <Characters>13470</Characters>
  <Application>Microsoft Office Word</Application>
  <DocSecurity>0</DocSecurity>
  <Lines>112</Lines>
  <Paragraphs>31</Paragraphs>
  <ScaleCrop>false</ScaleCrop>
  <Company>Chinese ORG</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社工处</cp:lastModifiedBy>
  <cp:revision>6</cp:revision>
  <dcterms:created xsi:type="dcterms:W3CDTF">2015-12-07T02:54:00Z</dcterms:created>
  <dcterms:modified xsi:type="dcterms:W3CDTF">2015-12-07T03:19:00Z</dcterms:modified>
</cp:coreProperties>
</file>