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6" w:rsidRDefault="00D87D06" w:rsidP="00D87D0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 w:hint="eastAsia"/>
          <w:color w:val="333333"/>
        </w:rPr>
      </w:pPr>
      <w:r>
        <w:rPr>
          <w:rFonts w:ascii="仿宋" w:eastAsia="仿宋" w:hAnsi="仿宋" w:cs="仿宋" w:hint="eastAsia"/>
          <w:b/>
          <w:color w:val="333333"/>
          <w:shd w:val="clear" w:color="auto" w:fill="FFFFFF"/>
        </w:rPr>
        <w:t>附件</w:t>
      </w:r>
    </w:p>
    <w:p w:rsidR="00D87D06" w:rsidRDefault="00D87D06" w:rsidP="00D87D0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 w:hint="eastAsia"/>
          <w:color w:val="333333"/>
        </w:rPr>
      </w:pPr>
    </w:p>
    <w:p w:rsidR="00D87D06" w:rsidRDefault="00D87D06" w:rsidP="00D87D06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仿宋" w:hint="eastAsia"/>
          <w:color w:val="333333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促进养老托</w:t>
      </w:r>
      <w:proofErr w:type="gramStart"/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育服务</w:t>
      </w:r>
      <w:proofErr w:type="gramEnd"/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健康发展</w:t>
      </w: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br/>
        <w:t>重点任务分工表</w:t>
      </w:r>
    </w:p>
    <w:bookmarkEnd w:id="0"/>
    <w:p w:rsidR="00D87D06" w:rsidRDefault="00D87D06" w:rsidP="00D87D06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仿宋" w:hint="eastAsia"/>
          <w:color w:val="333333"/>
          <w:sz w:val="32"/>
          <w:szCs w:val="32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4222"/>
        <w:gridCol w:w="4102"/>
      </w:tblGrid>
      <w:tr w:rsidR="00D87D06" w:rsidTr="003B7DEE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重点任务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责任单位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根据“一老一小”人口分布和结构变化，科学谋划“十四五”养老托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育服务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体系，促进服务能力提质扩容和区域均衡布局。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民政部、国家卫生健康委、国家发展改革委、财政部、住房城乡建设部、中国残联按职责分工负责，地方各级人民政府负责。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统筹推进城乡养老托育发展。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民政部、国家卫生健康委、国家发展改革委按职责分工负责，地方各级人民政府负责。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积极支持普惠性服务发展。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国家发展改革委、民政部、国家卫生健康委按职责分工负责，地方各级人民政府负责。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在年度建设用地供应计划中保障养老托育用地需求，并结合实际安排在合理区位。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自然资源部、民政部、国家卫生健康委、住房城乡建设部按职责分工负责，地方各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级人民政府负责。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在城市居住社区建设补短板和城镇老旧小区改造中统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筹推进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养老托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育服务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设施建设。探索允许空置公租房免费提供给社会力量供其在社区为老年人开展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助餐助行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、日间照料、康复护理、老年教育等服务。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住房城乡建设部牵头，中直管理局、国家发展改革委、民政部、自然资源部、国家卫生健康委、应急部、国务院国资委、国管局参加。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支持将各类房屋和设施用于发展养老托育，鼓励适当放宽最长租赁期限。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民政部、国家卫生健康委、国家发展改革委、自然资源部、住房城乡建设部、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应急部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按职责分工负责，地方各级人民政府负责。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非独立场所按照相关安全标准改造建设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托育点并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通过验收的，不需变更土地和房屋性质。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国家卫生健康委、自然资源部、住房城乡建设部、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应急部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按职责分工负责，地方各级人民政府负责。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推动财税支持政策落地。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财政部、税务总局、民政部、国家卫生健康委、人力资源社会保障部按职责分工负责，地方各级人民政府负责。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提高人才要素供给能力。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教育部、人力资源社会保障部、国家发展改革委、民政部、商务部、国家卫生健康委按职责分工负责。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增强家庭照护能力。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民政部、国家卫生健康委、全国妇联按职责分工负责。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研究出台家庭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托育点管理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办法。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国家卫生健康委牵头，国家发展改革委、民政部、住房城乡建设部、应急部、市场监管总局参加。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加强公办和公建民营养老机构建设，建立入住综合评估制度。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民政部、国家发展改革委、财政部、国家卫生健康委按职责分工负责。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完善公建民营机制，引进养老托育运营机构早期介入、全程参与项目工程建设，探索开展连锁化运营。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民政部、国家卫生健康委、国家发展改革委按职责分工负责。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推动培训疗养资源转型发展养老服务。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国家发展改革委牵头，中直管理局、民政部、财政部、人力资源社会保障部、自然资源部、住房城乡建设部、国家卫生健康委、应急部、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人民银行、国务院国资委、国管局参加。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实施普惠养老托育专项行动，建设一批普惠性养老服务机构和托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育服务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机构。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国家发展改革委牵头，民政部、自然资源部、住房城乡建设部、国家卫生健康委、国务院国资委参加。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引导金融机构提升服务质效。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人民银行、银保监会、国家发展改革委、财政部、住房城乡建设部、证监会按职责分工负责。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促进康养融合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发展。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国家发展改革委牵头，教育部、民政部、住房城乡建设部、文化和旅游部、国家卫生健康委、体育总局参加。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开展社区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养结合能力提升行动。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国家卫生健康委牵头，国家发展改革委、民政部、住房城乡建设部、国家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保局参加；地方各级人民政府负责。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提升养老机构应急保障能力。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民政部、国家发展改革委、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应急部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按职责分工负责，地方各级人民政府负责。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促进用品制造提质升级，逐步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完善养老托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育服务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和相关用品标准体系。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工业和信息化部、科技部、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国家发展改革委、民政部、国家卫生健康委、市场监管总局、中国残联按职责分工负责。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21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培育托育服务、乳粉奶业、动画设计与制作等行业民族品牌。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国家卫生健康委牵头，国家发展改革委、教育部、工业和信息化部、文化和旅游部、市场监管总局参加。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推进智能服务机器人后发赶超，启动康复辅助器具应用推广工程，实施智慧老龄化技术推广应用工程。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民政部、工业和信息化部、科技部、国家发展改革委、市场监管总局、中国残联按职责分工负责。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鼓励国内外多方共建养老托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育产业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合作园区，加强市场、规则、标准方面的软联通，打造制造业创新示范高地。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国家发展改革委牵头，工业和信息化部、民政部、人力资源社会保障部、自然资源部、国家卫生健康委、人民银行、市场监管总局参加。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加强宜居环境建设。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住房城乡建设部、国家卫生健康委、交通运输部、民政部、中国残联按职责分工负责。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以满足老年人生活需求和营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造婴幼儿成长环境为导向，推动形成一批具有示范意义的活力发展城市和社区。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国家发展改革委、住房城乡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建设部牵头，民政部、国家卫生健康委参加。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26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完善养老托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育服务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综合监管体系。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民政部、国家卫生健康委、市场监管总局、住房城乡建设部、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应急部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按职责分工负责。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将养老托育纳入公共安全重点保障范围。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民政部、国家卫生健康委、国家发展改革委、应急部、市场监管总局按职责分工负责，地方各级人民政府负责。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严防“一老一小”领域非法集资。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民政部、国家卫生健康委、银保监会按职责分工负责，地方各级人民政府负责。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制定养老托育政务服务事项清单，推进养老托育政务服务的“好差评”工作。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民政部、国家卫生健康委、市场监管总局按职责分工负责，地方各级人民政府负责。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支持公益慈善类社会组织参与，建立健全“一老一小”志愿服务项目库。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全国总工会、共青团中央、中国残联、民政部、国家卫生健康委按职责分工负责。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以普惠为导向建立多元主体参与的养老和托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育产业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合作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平台。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国家发展改革委牵头，工业和信息化部、民政部、自然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资源部、住房城乡建设部、文化和旅游部、国家卫生健康委、国务院国资委、市场监管总局参加。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32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依据养老产业统计分类，开展养老产业认定方法研究，推进重要指标年度统计，探索构建托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育服务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统计指标体系。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国家统计局牵头，国家发展改革委、工业和信息化部、民政部、住房城乡建设部、国家卫生健康委、市场监管总局、中国残联参加。</w:t>
            </w:r>
          </w:p>
        </w:tc>
      </w:tr>
      <w:tr w:rsidR="00D87D06" w:rsidTr="003B7DEE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建立“一老一小”服务能力评价机制，加强对本意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见执行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情况的跟踪督促。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D06" w:rsidRDefault="00D87D06" w:rsidP="003B7DEE">
            <w:pPr>
              <w:pStyle w:val="a3"/>
              <w:widowControl/>
              <w:spacing w:before="0" w:beforeAutospacing="0" w:after="0" w:afterAutospacing="0" w:line="525" w:lineRule="atLeast"/>
              <w:jc w:val="both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国家发展改革委牵头，各相关部门参加。</w:t>
            </w:r>
          </w:p>
        </w:tc>
      </w:tr>
    </w:tbl>
    <w:p w:rsidR="00D87D06" w:rsidRDefault="00D87D06" w:rsidP="00D87D06">
      <w:pPr>
        <w:pStyle w:val="a3"/>
        <w:widowControl/>
        <w:shd w:val="clear" w:color="auto" w:fill="FFFFFF"/>
        <w:spacing w:before="0" w:beforeAutospacing="0" w:after="0" w:afterAutospacing="0" w:line="525" w:lineRule="atLeast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 </w:t>
      </w:r>
    </w:p>
    <w:p w:rsidR="00D87D06" w:rsidRDefault="00D87D06" w:rsidP="00D87D06"/>
    <w:p w:rsidR="00602184" w:rsidRPr="00D87D06" w:rsidRDefault="00D87D06"/>
    <w:sectPr w:rsidR="00602184" w:rsidRPr="00D87D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6"/>
    <w:rsid w:val="00A649E9"/>
    <w:rsid w:val="00B75520"/>
    <w:rsid w:val="00D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7D06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7D0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390</Words>
  <Characters>2224</Characters>
  <Application>Microsoft Office Word</Application>
  <DocSecurity>0</DocSecurity>
  <Lines>18</Lines>
  <Paragraphs>5</Paragraphs>
  <ScaleCrop>false</ScaleCrop>
  <Company>P R C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2021-01-06T07:45:00Z</dcterms:created>
  <dcterms:modified xsi:type="dcterms:W3CDTF">2021-01-06T07:46:00Z</dcterms:modified>
</cp:coreProperties>
</file>